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上海立信会计金融学院</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普通本科毕业论文（设计）管理办法</w:t>
      </w:r>
    </w:p>
    <w:bookmarkEnd w:id="0"/>
    <w:p>
      <w:pPr>
        <w:jc w:val="center"/>
        <w:rPr>
          <w:kern w:val="0"/>
          <w:sz w:val="24"/>
        </w:rPr>
      </w:pPr>
    </w:p>
    <w:p>
      <w:pPr>
        <w:jc w:val="center"/>
        <w:rPr>
          <w:kern w:val="0"/>
          <w:sz w:val="24"/>
        </w:rPr>
      </w:pPr>
      <w:r>
        <w:rPr>
          <w:rFonts w:hint="eastAsia"/>
          <w:kern w:val="0"/>
          <w:sz w:val="24"/>
        </w:rPr>
        <w:t>（经2017年第1次校长办公会通过，2018年第1次校长办公会第一次修订，</w:t>
      </w:r>
    </w:p>
    <w:p>
      <w:pPr>
        <w:jc w:val="center"/>
        <w:rPr>
          <w:kern w:val="0"/>
          <w:sz w:val="24"/>
        </w:rPr>
      </w:pPr>
      <w:r>
        <w:rPr>
          <w:rFonts w:hint="eastAsia"/>
          <w:kern w:val="0"/>
          <w:sz w:val="24"/>
        </w:rPr>
        <w:t>2021年第16次校长办公会第二次修订）</w:t>
      </w:r>
    </w:p>
    <w:p>
      <w:pPr>
        <w:pStyle w:val="2"/>
        <w:tabs>
          <w:tab w:val="left" w:pos="0"/>
        </w:tabs>
        <w:ind w:left="420"/>
        <w:rPr>
          <w:rFonts w:ascii="Times New Roman" w:hAnsi="Times New Roman"/>
          <w:color w:val="000000"/>
        </w:rPr>
      </w:pPr>
      <w:r>
        <w:rPr>
          <w:rFonts w:hint="eastAsia" w:ascii="Times New Roman" w:hAnsi="Times New Roman"/>
          <w:color w:val="000000"/>
        </w:rPr>
        <w:t>第一章</w:t>
      </w:r>
      <w:r>
        <w:rPr>
          <w:rFonts w:ascii="Times New Roman" w:hAnsi="Times New Roman"/>
          <w:color w:val="000000"/>
        </w:rPr>
        <w:t xml:space="preserve">  </w:t>
      </w:r>
      <w:r>
        <w:rPr>
          <w:rFonts w:hint="eastAsia" w:ascii="Times New Roman" w:hAnsi="Times New Roman"/>
          <w:color w:val="000000"/>
        </w:rPr>
        <w:t>总则</w:t>
      </w:r>
    </w:p>
    <w:p>
      <w:pPr>
        <w:pStyle w:val="5"/>
        <w:numPr>
          <w:ilvl w:val="0"/>
          <w:numId w:val="1"/>
        </w:numPr>
        <w:adjustRightInd w:val="0"/>
        <w:ind w:firstLineChars="0"/>
        <w:rPr>
          <w:rFonts w:ascii="Times New Roman" w:hAnsi="Times New Roman"/>
        </w:rPr>
      </w:pPr>
      <w:r>
        <w:rPr>
          <w:rFonts w:hint="eastAsia" w:ascii="Times New Roman" w:hAnsi="Times New Roman"/>
        </w:rPr>
        <w:t>为加强上海立信会计金融学院（以下简称“学校”）普通本科毕业论文（含毕业设计，以下简称“毕业论文”）工作管理，保证毕业论文质量，根据教育部《关于加强普通高等学校毕业论文（设计）工作的通知》《学位论文作假行为处理办法》《本科毕业论文（设计）抽检办法（试行）》和《上海立信会计金融学院章程》的要求，结合学校实际，特制定本办法。</w:t>
      </w:r>
    </w:p>
    <w:p>
      <w:pPr>
        <w:pStyle w:val="5"/>
        <w:numPr>
          <w:ilvl w:val="0"/>
          <w:numId w:val="1"/>
        </w:numPr>
        <w:adjustRightInd w:val="0"/>
        <w:ind w:firstLineChars="0"/>
        <w:rPr>
          <w:rFonts w:ascii="Times New Roman" w:hAnsi="Times New Roman"/>
        </w:rPr>
      </w:pPr>
      <w:r>
        <w:rPr>
          <w:rFonts w:hint="eastAsia" w:ascii="Times New Roman" w:hAnsi="Times New Roman"/>
        </w:rPr>
        <w:t>毕业论文是本科人才培养的重要组成部分，是本科教学工作的重要环节，是实现教学、科研和社会实践相结合的重要途径。毕业论文质量是衡量本科教学质量、教育教学水平的重要依据。</w:t>
      </w:r>
    </w:p>
    <w:p>
      <w:pPr>
        <w:pStyle w:val="5"/>
        <w:numPr>
          <w:ilvl w:val="0"/>
          <w:numId w:val="1"/>
        </w:numPr>
        <w:adjustRightInd w:val="0"/>
        <w:ind w:firstLineChars="0"/>
        <w:rPr>
          <w:rFonts w:ascii="Times New Roman" w:hAnsi="Times New Roman"/>
        </w:rPr>
      </w:pPr>
      <w:r>
        <w:rPr>
          <w:rFonts w:hint="eastAsia" w:ascii="Times New Roman" w:hAnsi="Times New Roman"/>
        </w:rPr>
        <w:t>毕业论文工作应全面贯彻党和国家的教育方针，坚持诚信为本、立德树人，将社会主义核心价值观教育全方位贯穿融入人才培养全过程，培养具有社会责任感、创新精神、实践能力、国际视野的财经领域高素质人才。</w:t>
      </w:r>
    </w:p>
    <w:p>
      <w:pPr>
        <w:pStyle w:val="5"/>
        <w:numPr>
          <w:ilvl w:val="0"/>
          <w:numId w:val="1"/>
        </w:numPr>
        <w:adjustRightInd w:val="0"/>
        <w:ind w:firstLineChars="0"/>
        <w:rPr>
          <w:rFonts w:ascii="Times New Roman" w:hAnsi="Times New Roman"/>
        </w:rPr>
      </w:pPr>
      <w:r>
        <w:rPr>
          <w:rFonts w:hint="eastAsia" w:ascii="Times New Roman" w:hAnsi="Times New Roman"/>
        </w:rPr>
        <w:t>本办法适用于学校全日制普通高等教育本科专业人才培养方案所规定的毕业论文。</w:t>
      </w:r>
    </w:p>
    <w:p>
      <w:pPr>
        <w:pStyle w:val="2"/>
        <w:tabs>
          <w:tab w:val="left" w:pos="0"/>
        </w:tabs>
        <w:ind w:left="420"/>
        <w:rPr>
          <w:rFonts w:ascii="Times New Roman" w:hAnsi="Times New Roman"/>
        </w:rPr>
      </w:pPr>
      <w:r>
        <w:rPr>
          <w:rFonts w:hint="eastAsia" w:ascii="Times New Roman" w:hAnsi="Times New Roman"/>
        </w:rPr>
        <w:t>第二章</w:t>
      </w:r>
      <w:r>
        <w:rPr>
          <w:rFonts w:ascii="Times New Roman" w:hAnsi="Times New Roman"/>
        </w:rPr>
        <w:t xml:space="preserve">  </w:t>
      </w:r>
      <w:r>
        <w:rPr>
          <w:rFonts w:hint="eastAsia" w:ascii="Times New Roman" w:hAnsi="Times New Roman"/>
        </w:rPr>
        <w:t>教学组织与管理</w:t>
      </w:r>
    </w:p>
    <w:p>
      <w:pPr>
        <w:pStyle w:val="5"/>
        <w:numPr>
          <w:ilvl w:val="0"/>
          <w:numId w:val="1"/>
        </w:numPr>
        <w:adjustRightInd w:val="0"/>
        <w:ind w:firstLineChars="0"/>
        <w:rPr>
          <w:rFonts w:ascii="Times New Roman" w:hAnsi="Times New Roman"/>
        </w:rPr>
      </w:pPr>
      <w:r>
        <w:rPr>
          <w:rFonts w:hint="eastAsia" w:ascii="Times New Roman" w:hAnsi="Times New Roman"/>
        </w:rPr>
        <w:t>毕业论文工作实行</w:t>
      </w:r>
      <w:r>
        <w:rPr>
          <w:rFonts w:ascii="Times New Roman" w:hAnsi="Times New Roman"/>
        </w:rPr>
        <w:t>“</w:t>
      </w:r>
      <w:r>
        <w:rPr>
          <w:rFonts w:hint="eastAsia" w:ascii="Times New Roman" w:hAnsi="Times New Roman"/>
        </w:rPr>
        <w:t>统一领导、分级管理</w:t>
      </w:r>
      <w:r>
        <w:rPr>
          <w:rFonts w:ascii="Times New Roman" w:hAnsi="Times New Roman"/>
        </w:rPr>
        <w:t>”</w:t>
      </w:r>
      <w:r>
        <w:rPr>
          <w:rFonts w:hint="eastAsia" w:ascii="Times New Roman" w:hAnsi="Times New Roman"/>
        </w:rPr>
        <w:t>的二级管理体制。负责普通本科教学管理的职能部门（以下简称职能部门）按照学校的人才培养目标和教育教学质量要求，对毕业论文工作进行全局管理和统筹安排，各学院负责安排组织实施本学院的毕业论文工作。</w:t>
      </w:r>
    </w:p>
    <w:p>
      <w:pPr>
        <w:pStyle w:val="5"/>
        <w:numPr>
          <w:ilvl w:val="0"/>
          <w:numId w:val="1"/>
        </w:numPr>
        <w:adjustRightInd w:val="0"/>
        <w:ind w:firstLineChars="0"/>
        <w:rPr>
          <w:rFonts w:ascii="Times New Roman" w:hAnsi="Times New Roman"/>
        </w:rPr>
      </w:pPr>
      <w:r>
        <w:rPr>
          <w:rFonts w:hint="eastAsia" w:ascii="Times New Roman" w:hAnsi="Times New Roman"/>
        </w:rPr>
        <w:t>职能部门职责包括：</w:t>
      </w:r>
    </w:p>
    <w:p>
      <w:pPr>
        <w:pStyle w:val="5"/>
        <w:numPr>
          <w:ilvl w:val="0"/>
          <w:numId w:val="2"/>
        </w:numPr>
        <w:ind w:firstLineChars="0"/>
        <w:rPr>
          <w:rFonts w:ascii="Times New Roman" w:hAnsi="Times New Roman"/>
        </w:rPr>
      </w:pPr>
      <w:r>
        <w:rPr>
          <w:rFonts w:hint="eastAsia" w:ascii="Times New Roman" w:hAnsi="Times New Roman"/>
        </w:rPr>
        <w:t>负责制定学校毕业论文的质量标准、毕业论文指导教师资格标准，以及毕业论文工作的管理制度及有关规范。</w:t>
      </w:r>
    </w:p>
    <w:p>
      <w:pPr>
        <w:pStyle w:val="5"/>
        <w:numPr>
          <w:ilvl w:val="0"/>
          <w:numId w:val="2"/>
        </w:numPr>
        <w:ind w:firstLineChars="0"/>
        <w:rPr>
          <w:rFonts w:ascii="Times New Roman" w:hAnsi="Times New Roman"/>
        </w:rPr>
      </w:pPr>
      <w:r>
        <w:rPr>
          <w:rFonts w:hint="eastAsia" w:ascii="Times New Roman" w:hAnsi="Times New Roman"/>
        </w:rPr>
        <w:t>负责全校毕业论文工作的统筹规划、协调和过程管理监督。</w:t>
      </w:r>
    </w:p>
    <w:p>
      <w:pPr>
        <w:pStyle w:val="5"/>
        <w:numPr>
          <w:ilvl w:val="0"/>
          <w:numId w:val="2"/>
        </w:numPr>
        <w:ind w:firstLineChars="0"/>
        <w:rPr>
          <w:rFonts w:ascii="Times New Roman" w:hAnsi="Times New Roman"/>
        </w:rPr>
      </w:pPr>
      <w:r>
        <w:rPr>
          <w:rFonts w:hint="eastAsia" w:ascii="Times New Roman" w:hAnsi="Times New Roman"/>
        </w:rPr>
        <w:t>负责对全校毕业论文工作的质量进行监督。</w:t>
      </w:r>
    </w:p>
    <w:p>
      <w:pPr>
        <w:pStyle w:val="5"/>
        <w:numPr>
          <w:ilvl w:val="0"/>
          <w:numId w:val="2"/>
        </w:numPr>
        <w:ind w:firstLineChars="0"/>
        <w:rPr>
          <w:rFonts w:ascii="Times New Roman" w:hAnsi="Times New Roman"/>
        </w:rPr>
      </w:pPr>
      <w:r>
        <w:rPr>
          <w:rFonts w:hint="eastAsia" w:ascii="Times New Roman" w:hAnsi="Times New Roman"/>
        </w:rPr>
        <w:t>负责组织各学院推荐校级优秀毕业论文。</w:t>
      </w:r>
    </w:p>
    <w:p>
      <w:pPr>
        <w:pStyle w:val="5"/>
        <w:numPr>
          <w:ilvl w:val="0"/>
          <w:numId w:val="2"/>
        </w:numPr>
        <w:ind w:firstLineChars="0"/>
        <w:rPr>
          <w:rFonts w:ascii="Times New Roman" w:hAnsi="Times New Roman"/>
        </w:rPr>
      </w:pPr>
      <w:r>
        <w:rPr>
          <w:rFonts w:hint="eastAsia" w:ascii="Times New Roman" w:hAnsi="Times New Roman"/>
        </w:rPr>
        <w:t>负责对全校毕业论文工作的总结和持续推进。</w:t>
      </w:r>
    </w:p>
    <w:p>
      <w:pPr>
        <w:pStyle w:val="5"/>
        <w:numPr>
          <w:ilvl w:val="0"/>
          <w:numId w:val="2"/>
        </w:numPr>
        <w:ind w:firstLineChars="0"/>
        <w:rPr>
          <w:rFonts w:ascii="Times New Roman" w:hAnsi="Times New Roman"/>
        </w:rPr>
      </w:pPr>
      <w:r>
        <w:rPr>
          <w:rFonts w:hint="eastAsia" w:ascii="Times New Roman" w:hAnsi="Times New Roman"/>
        </w:rPr>
        <w:t>负责其他校级层面毕业论文工作的组织和实施。</w:t>
      </w:r>
    </w:p>
    <w:p>
      <w:pPr>
        <w:pStyle w:val="5"/>
        <w:numPr>
          <w:ilvl w:val="0"/>
          <w:numId w:val="1"/>
        </w:numPr>
        <w:adjustRightInd w:val="0"/>
        <w:ind w:firstLineChars="0"/>
        <w:rPr>
          <w:rFonts w:ascii="Times New Roman" w:hAnsi="Times New Roman"/>
        </w:rPr>
      </w:pPr>
      <w:r>
        <w:rPr>
          <w:rFonts w:hint="eastAsia" w:ascii="Times New Roman" w:hAnsi="Times New Roman"/>
        </w:rPr>
        <w:t>学院职责包括：</w:t>
      </w:r>
    </w:p>
    <w:p>
      <w:pPr>
        <w:pStyle w:val="5"/>
        <w:numPr>
          <w:ilvl w:val="0"/>
          <w:numId w:val="3"/>
        </w:numPr>
        <w:ind w:firstLineChars="0"/>
        <w:rPr>
          <w:rFonts w:ascii="Times New Roman" w:hAnsi="Times New Roman"/>
        </w:rPr>
      </w:pPr>
      <w:r>
        <w:rPr>
          <w:rFonts w:hint="eastAsia" w:ascii="Times New Roman" w:hAnsi="Times New Roman"/>
        </w:rPr>
        <w:t>根据学校的相关规定，制定学院毕业论文工作实施细则。</w:t>
      </w:r>
    </w:p>
    <w:p>
      <w:pPr>
        <w:pStyle w:val="5"/>
        <w:numPr>
          <w:ilvl w:val="0"/>
          <w:numId w:val="3"/>
        </w:numPr>
        <w:ind w:firstLineChars="0"/>
        <w:rPr>
          <w:rFonts w:ascii="Times New Roman" w:hAnsi="Times New Roman"/>
        </w:rPr>
      </w:pPr>
      <w:r>
        <w:rPr>
          <w:rFonts w:hint="eastAsia" w:ascii="Times New Roman" w:hAnsi="Times New Roman"/>
        </w:rPr>
        <w:t>实施学院毕业论文工作的全程管理。制订学院毕业论文工作计划；组织和落实从动员、选题、开题报告、中期检查、初稿、定稿、检测到答辩等各阶段的工作；组织成绩评定和资料归档；推荐校级优秀毕业论文。</w:t>
      </w:r>
    </w:p>
    <w:p>
      <w:pPr>
        <w:pStyle w:val="5"/>
        <w:numPr>
          <w:ilvl w:val="0"/>
          <w:numId w:val="3"/>
        </w:numPr>
        <w:ind w:firstLineChars="0"/>
        <w:rPr>
          <w:rFonts w:ascii="Times New Roman" w:hAnsi="Times New Roman"/>
        </w:rPr>
      </w:pPr>
      <w:r>
        <w:rPr>
          <w:rFonts w:hint="eastAsia" w:ascii="Times New Roman" w:hAnsi="Times New Roman"/>
        </w:rPr>
        <w:t>负责对学院毕业论文指导教师资格的认定；对指导教师履行职责的情况进行监督与评价。</w:t>
      </w:r>
    </w:p>
    <w:p>
      <w:pPr>
        <w:pStyle w:val="5"/>
        <w:numPr>
          <w:ilvl w:val="0"/>
          <w:numId w:val="3"/>
        </w:numPr>
        <w:ind w:firstLineChars="0"/>
        <w:rPr>
          <w:rFonts w:ascii="Times New Roman" w:hAnsi="Times New Roman"/>
        </w:rPr>
      </w:pPr>
      <w:r>
        <w:rPr>
          <w:rFonts w:hint="eastAsia" w:ascii="Times New Roman" w:hAnsi="Times New Roman"/>
        </w:rPr>
        <w:t>进行学院毕业论文教学组织的总结与质量分析，制定改进措施。</w:t>
      </w:r>
    </w:p>
    <w:p>
      <w:pPr>
        <w:pStyle w:val="5"/>
        <w:numPr>
          <w:ilvl w:val="0"/>
          <w:numId w:val="3"/>
        </w:numPr>
        <w:ind w:firstLineChars="0"/>
        <w:rPr>
          <w:rFonts w:ascii="Times New Roman" w:hAnsi="Times New Roman"/>
        </w:rPr>
      </w:pPr>
      <w:r>
        <w:rPr>
          <w:rFonts w:hint="eastAsia" w:ascii="Times New Roman" w:hAnsi="Times New Roman"/>
        </w:rPr>
        <w:t>负责学院层面毕业论文相关其他工作的组织和实施。</w:t>
      </w:r>
    </w:p>
    <w:p>
      <w:pPr>
        <w:pStyle w:val="2"/>
        <w:tabs>
          <w:tab w:val="left" w:pos="0"/>
        </w:tabs>
        <w:ind w:left="420"/>
        <w:rPr>
          <w:rFonts w:ascii="Times New Roman" w:hAnsi="Times New Roman"/>
        </w:rPr>
      </w:pPr>
      <w:r>
        <w:rPr>
          <w:rFonts w:hint="eastAsia" w:ascii="Times New Roman" w:hAnsi="Times New Roman"/>
        </w:rPr>
        <w:t>第三章</w:t>
      </w:r>
      <w:r>
        <w:rPr>
          <w:rFonts w:ascii="Times New Roman" w:hAnsi="Times New Roman"/>
        </w:rPr>
        <w:t xml:space="preserve">  </w:t>
      </w:r>
      <w:r>
        <w:rPr>
          <w:rFonts w:hint="eastAsia" w:ascii="Times New Roman" w:hAnsi="Times New Roman"/>
        </w:rPr>
        <w:t>指导教师</w:t>
      </w:r>
    </w:p>
    <w:p>
      <w:pPr>
        <w:pStyle w:val="5"/>
        <w:numPr>
          <w:ilvl w:val="0"/>
          <w:numId w:val="1"/>
        </w:numPr>
        <w:adjustRightInd w:val="0"/>
        <w:ind w:firstLineChars="0"/>
        <w:rPr>
          <w:rFonts w:ascii="Times New Roman" w:hAnsi="Times New Roman"/>
        </w:rPr>
      </w:pPr>
      <w:r>
        <w:rPr>
          <w:rFonts w:hint="eastAsia" w:ascii="Times New Roman" w:hAnsi="Times New Roman"/>
        </w:rPr>
        <w:t>学院应选派具有讲师及以上职称教师，或者具有博士学位的教师负责毕业论文的指导工作；安排具有硕士学位教师指导毕业论文的，应实行</w:t>
      </w:r>
      <w:r>
        <w:rPr>
          <w:rFonts w:ascii="Times New Roman" w:hAnsi="Times New Roman"/>
        </w:rPr>
        <w:t>“</w:t>
      </w:r>
      <w:r>
        <w:rPr>
          <w:rFonts w:hint="eastAsia" w:ascii="Times New Roman" w:hAnsi="Times New Roman"/>
        </w:rPr>
        <w:t>双指导教师制</w:t>
      </w:r>
      <w:r>
        <w:rPr>
          <w:rFonts w:ascii="Times New Roman" w:hAnsi="Times New Roman"/>
        </w:rPr>
        <w:t>”</w:t>
      </w:r>
      <w:r>
        <w:rPr>
          <w:rFonts w:hint="eastAsia" w:ascii="Times New Roman" w:hAnsi="Times New Roman"/>
        </w:rPr>
        <w:t>，在有讲师及以上职称的教师指导下完成毕业论文指导工作。学院也可以聘请实务界专家担任指导教师。</w:t>
      </w:r>
    </w:p>
    <w:p>
      <w:pPr>
        <w:pStyle w:val="5"/>
        <w:numPr>
          <w:ilvl w:val="0"/>
          <w:numId w:val="1"/>
        </w:numPr>
        <w:adjustRightInd w:val="0"/>
        <w:ind w:firstLineChars="0"/>
        <w:rPr>
          <w:rFonts w:ascii="Times New Roman" w:hAnsi="Times New Roman"/>
        </w:rPr>
      </w:pPr>
      <w:r>
        <w:rPr>
          <w:rFonts w:hint="eastAsia" w:ascii="Times New Roman" w:hAnsi="Times New Roman"/>
        </w:rPr>
        <w:t>指导教师职责包括：</w:t>
      </w:r>
    </w:p>
    <w:p>
      <w:pPr>
        <w:pStyle w:val="5"/>
        <w:numPr>
          <w:ilvl w:val="0"/>
          <w:numId w:val="4"/>
        </w:numPr>
        <w:ind w:firstLineChars="0"/>
        <w:rPr>
          <w:rFonts w:ascii="Times New Roman" w:hAnsi="Times New Roman"/>
        </w:rPr>
      </w:pPr>
      <w:r>
        <w:rPr>
          <w:rFonts w:hint="eastAsia" w:ascii="Times New Roman" w:hAnsi="Times New Roman"/>
        </w:rPr>
        <w:t>严格落实教学要求。按照所在专业的毕业论文教学大纲与教学标准要求，认真落实教学内容。加强学生综合实践能力、创新精神以及独立思考与批判性思维能力的培养。</w:t>
      </w:r>
    </w:p>
    <w:p>
      <w:pPr>
        <w:pStyle w:val="5"/>
        <w:numPr>
          <w:ilvl w:val="0"/>
          <w:numId w:val="4"/>
        </w:numPr>
        <w:ind w:firstLineChars="0"/>
        <w:rPr>
          <w:rFonts w:ascii="Times New Roman" w:hAnsi="Times New Roman"/>
        </w:rPr>
      </w:pPr>
      <w:r>
        <w:rPr>
          <w:rFonts w:hint="eastAsia" w:ascii="Times New Roman" w:hAnsi="Times New Roman"/>
        </w:rPr>
        <w:t>加强学术诚信教育。教育学生恪守学术诚信，及时纠正学术不端行为，必要时向学院申报取消学生答辩资格。</w:t>
      </w:r>
    </w:p>
    <w:p>
      <w:pPr>
        <w:pStyle w:val="5"/>
        <w:numPr>
          <w:ilvl w:val="0"/>
          <w:numId w:val="4"/>
        </w:numPr>
        <w:ind w:firstLineChars="0"/>
        <w:rPr>
          <w:rFonts w:ascii="Times New Roman" w:hAnsi="Times New Roman"/>
        </w:rPr>
      </w:pPr>
      <w:r>
        <w:rPr>
          <w:rFonts w:hint="eastAsia" w:ascii="Times New Roman" w:hAnsi="Times New Roman"/>
        </w:rPr>
        <w:t>指导学生做好毕业论文选题、文献检索，规范参考文献；审阅学生提交的论文大纲；进行毕业论文开题；检查督促学生的毕业论文进度；审阅学生毕业论文，督促学生进行修改；指导学生参加毕业答辩；评定毕业论文成绩。</w:t>
      </w:r>
    </w:p>
    <w:p>
      <w:pPr>
        <w:pStyle w:val="5"/>
        <w:numPr>
          <w:ilvl w:val="0"/>
          <w:numId w:val="4"/>
        </w:numPr>
        <w:ind w:firstLineChars="0"/>
        <w:rPr>
          <w:rFonts w:ascii="Times New Roman" w:hAnsi="Times New Roman"/>
        </w:rPr>
      </w:pPr>
      <w:r>
        <w:rPr>
          <w:rFonts w:hint="eastAsia" w:ascii="Times New Roman" w:hAnsi="Times New Roman"/>
        </w:rPr>
        <w:t>做好毕业论文工作的资料归档。</w:t>
      </w:r>
    </w:p>
    <w:p>
      <w:pPr>
        <w:pStyle w:val="5"/>
        <w:numPr>
          <w:ilvl w:val="0"/>
          <w:numId w:val="4"/>
        </w:numPr>
        <w:ind w:firstLineChars="0"/>
        <w:rPr>
          <w:rFonts w:ascii="Times New Roman" w:hAnsi="Times New Roman"/>
        </w:rPr>
      </w:pPr>
      <w:r>
        <w:rPr>
          <w:rFonts w:hint="eastAsia" w:ascii="Times New Roman" w:hAnsi="Times New Roman"/>
        </w:rPr>
        <w:t>其他与毕业论文指导相关的工作。</w:t>
      </w:r>
    </w:p>
    <w:p>
      <w:pPr>
        <w:pStyle w:val="2"/>
        <w:tabs>
          <w:tab w:val="left" w:pos="0"/>
        </w:tabs>
        <w:ind w:left="420"/>
        <w:rPr>
          <w:rFonts w:ascii="Times New Roman" w:hAnsi="Times New Roman"/>
        </w:rPr>
      </w:pPr>
      <w:r>
        <w:rPr>
          <w:rFonts w:hint="eastAsia" w:ascii="Times New Roman" w:hAnsi="Times New Roman"/>
        </w:rPr>
        <w:t>第四章</w:t>
      </w:r>
      <w:r>
        <w:rPr>
          <w:rFonts w:ascii="Times New Roman" w:hAnsi="Times New Roman"/>
        </w:rPr>
        <w:t xml:space="preserve">  </w:t>
      </w:r>
      <w:r>
        <w:rPr>
          <w:rFonts w:hint="eastAsia" w:ascii="Times New Roman" w:hAnsi="Times New Roman"/>
        </w:rPr>
        <w:t>基本要求</w:t>
      </w:r>
    </w:p>
    <w:p>
      <w:pPr>
        <w:pStyle w:val="5"/>
        <w:numPr>
          <w:ilvl w:val="0"/>
          <w:numId w:val="1"/>
        </w:numPr>
        <w:adjustRightInd w:val="0"/>
        <w:ind w:firstLineChars="0"/>
        <w:rPr>
          <w:rFonts w:ascii="Times New Roman" w:hAnsi="Times New Roman"/>
        </w:rPr>
      </w:pPr>
      <w:r>
        <w:rPr>
          <w:rFonts w:hint="eastAsia" w:ascii="Times New Roman" w:hAnsi="Times New Roman"/>
        </w:rPr>
        <w:t>本科毕业学位申请人员应当恪守学术道德和学术规范，在教师的指导下独立完成毕业论文。</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毕业论文的行文格式和引文规范应遵照《上海立信会计金融学院普通本科毕业论文（设计）格式与印制规范》中的相关要求执行，指导教师应严格把关。</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同一个学位申请人员的双学位专业毕业论文与主修专业毕业论文内容不能相同或相近。</w:t>
      </w:r>
    </w:p>
    <w:p>
      <w:pPr>
        <w:pStyle w:val="5"/>
        <w:adjustRightInd w:val="0"/>
        <w:spacing w:line="400" w:lineRule="exact"/>
        <w:ind w:firstLine="480"/>
        <w:rPr>
          <w:rFonts w:ascii="Times New Roman" w:hAnsi="Times New Roman"/>
        </w:rPr>
      </w:pPr>
      <w:r>
        <w:rPr>
          <w:rFonts w:hint="eastAsia" w:ascii="Times New Roman" w:hAnsi="Times New Roman"/>
        </w:rPr>
        <w:t>外语类专业学生可以用外文撰写毕业论文；各学院国际方向班的学生，经学院审批可以用英文撰写毕业论文。</w:t>
      </w:r>
    </w:p>
    <w:p>
      <w:pPr>
        <w:pStyle w:val="5"/>
        <w:numPr>
          <w:ilvl w:val="0"/>
          <w:numId w:val="1"/>
        </w:numPr>
        <w:adjustRightInd w:val="0"/>
        <w:spacing w:line="400" w:lineRule="exact"/>
        <w:ind w:firstLine="480" w:firstLineChars="0"/>
        <w:rPr>
          <w:rFonts w:ascii="Times New Roman" w:hAnsi="Times New Roman"/>
        </w:rPr>
      </w:pPr>
      <w:r>
        <w:rPr>
          <w:rFonts w:hint="eastAsia" w:ascii="Times New Roman" w:hAnsi="Times New Roman"/>
        </w:rPr>
        <w:t>毕业论文可分为应用性论文和理论性论文，毕业论文</w:t>
      </w:r>
      <w:r>
        <w:rPr>
          <w:rFonts w:hint="eastAsia" w:ascii="宋体" w:hAnsi="宋体"/>
        </w:rPr>
        <w:t>在实验、实习、工程实践和社会调查等社会实践中完成的比例不低于50%</w:t>
      </w:r>
      <w:r>
        <w:rPr>
          <w:rFonts w:hint="eastAsia" w:ascii="仿宋" w:hAnsi="仿宋"/>
          <w:sz w:val="28"/>
        </w:rPr>
        <w:t>。</w:t>
      </w:r>
    </w:p>
    <w:p>
      <w:pPr>
        <w:pStyle w:val="5"/>
        <w:ind w:firstLine="480"/>
        <w:rPr>
          <w:rFonts w:ascii="Times New Roman" w:hAnsi="Times New Roman"/>
        </w:rPr>
      </w:pPr>
      <w:r>
        <w:rPr>
          <w:rFonts w:hint="eastAsia" w:ascii="Times New Roman" w:hAnsi="Times New Roman"/>
        </w:rPr>
        <w:t>毕业论文形式可以包括学术性论文、案例分析、调查报告、方案设计报告等。鼓励各专业学生以案例分析、调查报告等形式撰写毕业论文。</w:t>
      </w:r>
    </w:p>
    <w:p>
      <w:pPr>
        <w:pStyle w:val="5"/>
        <w:adjustRightInd w:val="0"/>
        <w:ind w:firstLine="480"/>
        <w:rPr>
          <w:rFonts w:ascii="Times New Roman" w:hAnsi="Times New Roman"/>
        </w:rPr>
      </w:pPr>
      <w:r>
        <w:rPr>
          <w:rFonts w:hint="eastAsia" w:ascii="Times New Roman" w:hAnsi="Times New Roman"/>
        </w:rPr>
        <w:t>（一）学术性论文。指导学生运用所学的基础理论和专业知识，对本学科某一具体问题进行独立探索和研究。内容一般包括研究综述、理论与实务分析、应用研究等。</w:t>
      </w:r>
    </w:p>
    <w:p>
      <w:pPr>
        <w:pStyle w:val="5"/>
        <w:adjustRightInd w:val="0"/>
        <w:ind w:firstLine="480"/>
        <w:rPr>
          <w:rFonts w:ascii="Times New Roman" w:hAnsi="Times New Roman"/>
        </w:rPr>
      </w:pPr>
      <w:r>
        <w:rPr>
          <w:rFonts w:hint="eastAsia" w:ascii="Times New Roman" w:hAnsi="Times New Roman"/>
        </w:rPr>
        <w:t>（二）案例分析。指导学生通过专业实习，对本专业领域的实务问题，以案例形式进行描述、分析、讨论和总结。案例分析一般包括案例的概要描述、问题提出、理论分析、解决方案与可行性等。</w:t>
      </w:r>
    </w:p>
    <w:p>
      <w:pPr>
        <w:pStyle w:val="5"/>
        <w:adjustRightInd w:val="0"/>
        <w:ind w:firstLine="480"/>
        <w:rPr>
          <w:rFonts w:ascii="Times New Roman" w:hAnsi="Times New Roman"/>
        </w:rPr>
      </w:pPr>
      <w:r>
        <w:rPr>
          <w:rFonts w:hint="eastAsia" w:ascii="Times New Roman" w:hAnsi="Times New Roman"/>
        </w:rPr>
        <w:t>（三）调查报告。指导学生通过社会实践或实习，从企业面临的实际问题中选题，通过调查、分析和总结等程序，撰写调查报告。调查报告一般包括调查目的与内容、调查方法与程序、调查结果评价与启示等。</w:t>
      </w:r>
    </w:p>
    <w:p>
      <w:pPr>
        <w:pStyle w:val="5"/>
        <w:adjustRightInd w:val="0"/>
        <w:ind w:firstLine="480"/>
        <w:rPr>
          <w:rFonts w:ascii="Times New Roman" w:hAnsi="Times New Roman"/>
        </w:rPr>
      </w:pPr>
      <w:r>
        <w:rPr>
          <w:rFonts w:hint="eastAsia" w:ascii="Times New Roman" w:hAnsi="Times New Roman"/>
        </w:rPr>
        <w:t>（四）方案设计报告。文科类的方案设计报告可以是企业创业设计、企业运营策略设计、内部控制设计报告等。内容一般包括方案设计的目的或目标、方案设计方法或策略、方案设计的分析评价、应用的范围与预期取得的成效等。</w:t>
      </w:r>
    </w:p>
    <w:p>
      <w:pPr>
        <w:pStyle w:val="5"/>
        <w:adjustRightInd w:val="0"/>
        <w:ind w:firstLine="480"/>
        <w:rPr>
          <w:rFonts w:ascii="Times New Roman" w:hAnsi="Times New Roman"/>
        </w:rPr>
      </w:pPr>
      <w:r>
        <w:rPr>
          <w:rFonts w:hint="eastAsia" w:ascii="Times New Roman" w:hAnsi="Times New Roman"/>
        </w:rPr>
        <w:t>理工科类的方案设计报告可以是管理控制设计、管理信息系统设计、网络系统设计、应用程序设计等。内容一般包括总体方案设计与论证，相关的设计计算，试验方案设计的可行性、有效性以及试验数据处理及分析等。</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毕业论文工作一般于第七学期第十周前启动，第八学期第十四周完成。</w:t>
      </w:r>
    </w:p>
    <w:p>
      <w:pPr>
        <w:pStyle w:val="2"/>
        <w:tabs>
          <w:tab w:val="left" w:pos="0"/>
        </w:tabs>
        <w:ind w:left="420"/>
        <w:rPr>
          <w:rFonts w:ascii="Times New Roman" w:hAnsi="Times New Roman"/>
        </w:rPr>
      </w:pPr>
      <w:r>
        <w:rPr>
          <w:rFonts w:hint="eastAsia" w:ascii="Times New Roman" w:hAnsi="Times New Roman"/>
        </w:rPr>
        <w:t>第五章</w:t>
      </w:r>
      <w:r>
        <w:rPr>
          <w:rFonts w:ascii="Times New Roman" w:hAnsi="Times New Roman"/>
        </w:rPr>
        <w:t xml:space="preserve">  </w:t>
      </w:r>
      <w:r>
        <w:rPr>
          <w:rFonts w:hint="eastAsia" w:ascii="Times New Roman" w:hAnsi="Times New Roman"/>
        </w:rPr>
        <w:t>选题与开题</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毕业论文选题要求：</w:t>
      </w:r>
    </w:p>
    <w:p>
      <w:pPr>
        <w:pStyle w:val="5"/>
        <w:numPr>
          <w:ilvl w:val="0"/>
          <w:numId w:val="5"/>
        </w:numPr>
        <w:tabs>
          <w:tab w:val="left" w:pos="0"/>
        </w:tabs>
        <w:adjustRightInd w:val="0"/>
        <w:ind w:firstLineChars="0"/>
        <w:rPr>
          <w:rFonts w:ascii="Times New Roman" w:hAnsi="Times New Roman"/>
        </w:rPr>
      </w:pPr>
      <w:r>
        <w:rPr>
          <w:rFonts w:hint="eastAsia" w:ascii="Times New Roman" w:hAnsi="Times New Roman"/>
        </w:rPr>
        <w:t>符合专业的人才培养目标，体现学生对基本知识、理论、方法和技能的综合运用能力，并能培养学生运用理论分析和解决问题的能力。</w:t>
      </w:r>
    </w:p>
    <w:p>
      <w:pPr>
        <w:pStyle w:val="5"/>
        <w:numPr>
          <w:ilvl w:val="0"/>
          <w:numId w:val="5"/>
        </w:numPr>
        <w:tabs>
          <w:tab w:val="left" w:pos="0"/>
        </w:tabs>
        <w:adjustRightInd w:val="0"/>
        <w:ind w:firstLineChars="0"/>
        <w:rPr>
          <w:rFonts w:ascii="Times New Roman" w:hAnsi="Times New Roman"/>
        </w:rPr>
      </w:pPr>
      <w:r>
        <w:rPr>
          <w:rFonts w:hint="eastAsia" w:ascii="Times New Roman" w:hAnsi="Times New Roman"/>
        </w:rPr>
        <w:t>与学科专业发展、技术运用、经济建设和社会发展紧密结合。鼓励学院通过政产学研深入融合的方式，与科研院所、政府部门、企事业单位等实务单位联合拟定题目；鼓励选题与教师科研课题相结合；鼓励选题与学生创新</w:t>
      </w:r>
      <w:r>
        <w:rPr>
          <w:rFonts w:ascii="Times New Roman" w:hAnsi="Times New Roman"/>
        </w:rPr>
        <w:t>创业</w:t>
      </w:r>
      <w:r>
        <w:rPr>
          <w:rFonts w:hint="eastAsia" w:ascii="Times New Roman" w:hAnsi="Times New Roman"/>
        </w:rPr>
        <w:t>项目相结合；鼓励体现学科交叉的选题等。</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毕业论文选题由学生与指导教师商定。</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毕业论文原则上为一人一题。毕业设计如需二人以上共同完成，由学生本人向指导教师提出申请，经指导教师同意后，报学院主管领导批准，但每个学生必须独立完成其所承担的工作。</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学生根据确定的毕业论文题目，在指导教师组织下或者征得指导教师意见的前提下，明确选题的依据、毕业论文大纲，合理安排毕业论文写作进度，收集参考文献等资料，填写《上海立信会计金融学院普通本科毕业论文（设计）开题报告》，并按计划完成毕业论文的开题。</w:t>
      </w:r>
    </w:p>
    <w:p>
      <w:pPr>
        <w:pStyle w:val="2"/>
        <w:tabs>
          <w:tab w:val="left" w:pos="0"/>
        </w:tabs>
        <w:ind w:left="420"/>
        <w:rPr>
          <w:rFonts w:ascii="Times New Roman" w:hAnsi="Times New Roman"/>
        </w:rPr>
      </w:pPr>
      <w:r>
        <w:rPr>
          <w:rFonts w:hint="eastAsia" w:ascii="Times New Roman" w:hAnsi="Times New Roman"/>
        </w:rPr>
        <w:t>第六章</w:t>
      </w:r>
      <w:r>
        <w:rPr>
          <w:rFonts w:ascii="Times New Roman" w:hAnsi="Times New Roman"/>
        </w:rPr>
        <w:t xml:space="preserve">  </w:t>
      </w:r>
      <w:r>
        <w:rPr>
          <w:rFonts w:hint="eastAsia" w:ascii="Times New Roman" w:hAnsi="Times New Roman"/>
        </w:rPr>
        <w:t>指导与撰写</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指导教师应对学生在拟定毕业论文提纲、收集、选择和运用资料以及写作方法、学术规范等方面给以指导；向学生讲清选题意义，并提出明确的写作要求；介绍参考资料的查询方法，指导学生拟定毕业论文写作提纲；检查学生毕业论文撰写进展情况；认真审阅毕业论文，并提出具体修改意见。教师在指导工作中，既要认真负责，又要注意发挥学生的积极性、主动性，防止包办代替；鼓励学生勇于探讨和钻研问题，并进行大胆创新。</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学生应在教师指导下制定并严格执行工作计划，定期向指导教师汇报工作进展。</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每位教师指导毕业论文的学生数原则上不得超过</w:t>
      </w:r>
      <w:r>
        <w:rPr>
          <w:rFonts w:ascii="Times New Roman" w:hAnsi="Times New Roman"/>
        </w:rPr>
        <w:t>8</w:t>
      </w:r>
      <w:r>
        <w:rPr>
          <w:rFonts w:hint="eastAsia" w:ascii="Times New Roman" w:hAnsi="Times New Roman"/>
        </w:rPr>
        <w:t>人，指导教师由学院主管领导审定后，报职能部门备案。</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指导教师应及时掌握学生毕业论文的写作进度和质量，对每位学生的指导不少于</w:t>
      </w:r>
      <w:r>
        <w:rPr>
          <w:rFonts w:ascii="Times New Roman" w:hAnsi="Times New Roman"/>
        </w:rPr>
        <w:t>8</w:t>
      </w:r>
      <w:r>
        <w:rPr>
          <w:rFonts w:hint="eastAsia" w:ascii="Times New Roman" w:hAnsi="Times New Roman"/>
        </w:rPr>
        <w:t>次，其中当面进行的具体指导、检查、答疑等不少于</w:t>
      </w:r>
      <w:r>
        <w:rPr>
          <w:rFonts w:ascii="Times New Roman" w:hAnsi="Times New Roman"/>
        </w:rPr>
        <w:t>4</w:t>
      </w:r>
      <w:r>
        <w:rPr>
          <w:rFonts w:hint="eastAsia" w:ascii="Times New Roman" w:hAnsi="Times New Roman"/>
        </w:rPr>
        <w:t>次，并认真填写《上海立信会计金融学院普通本科毕业论文（设计）指导情况记录表》。</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学院应在第八学期第四周前完成毕业论文中期检查工作，确保毕业论文工作有序进行。指导教师应根据学生完成毕业论文的情况，填写《上海立信会计金融学院普通本科毕业论文（设计）中期进展情况检查表》。</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学生撰写毕业论文需熟悉和掌握写作毕业论文所必须的资料，对所研究的问题进行比较全面、深入、系统的分析和阐述，并具有一定的见解。毕业论文要注重理论联系实际，论点明确，论据充分，逻辑清楚，文字简练通顺。</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毕业论文结构格式应符合《上海立信会计金融学院普通本科毕业论文（设计）格式与印制规范》要求，文科类各专业毕业论文正文原则上不少于</w:t>
      </w:r>
      <w:r>
        <w:rPr>
          <w:rFonts w:ascii="Times New Roman" w:hAnsi="Times New Roman"/>
        </w:rPr>
        <w:t>10000</w:t>
      </w:r>
      <w:r>
        <w:rPr>
          <w:rFonts w:hint="eastAsia" w:ascii="Times New Roman" w:hAnsi="Times New Roman"/>
        </w:rPr>
        <w:t>字，理工类各专业毕业设计正文不少于</w:t>
      </w:r>
      <w:r>
        <w:rPr>
          <w:rFonts w:ascii="Times New Roman" w:hAnsi="Times New Roman"/>
        </w:rPr>
        <w:t>8000</w:t>
      </w:r>
      <w:r>
        <w:rPr>
          <w:rFonts w:hint="eastAsia" w:ascii="Times New Roman" w:hAnsi="Times New Roman"/>
        </w:rPr>
        <w:t>字。外语类专业学生要求用外文撰写、国际方向班学生用英文撰写的正文均不少于</w:t>
      </w:r>
      <w:r>
        <w:rPr>
          <w:rFonts w:ascii="Times New Roman" w:hAnsi="Times New Roman"/>
        </w:rPr>
        <w:t>8000</w:t>
      </w:r>
      <w:r>
        <w:rPr>
          <w:rFonts w:hint="eastAsia" w:ascii="Times New Roman" w:hAnsi="Times New Roman"/>
        </w:rPr>
        <w:t>字，或正文字数参照中文毕业论文字数进行折算。</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指导教师对学生毕业论文写作的全过程进行全面考核，按照《上海立信会计金融学院普通本科毕业论文（设计）参考评分标准》，实事求是地填写《上海立信会计金融学院普通本科毕业论文（设计）成绩评定表》。</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学生毕业论文完成后，除指导老师对毕业论文进行评定</w:t>
      </w:r>
      <w:r>
        <w:rPr>
          <w:rFonts w:ascii="Times New Roman" w:hAnsi="Times New Roman"/>
        </w:rPr>
        <w:t>成绩</w:t>
      </w:r>
      <w:r>
        <w:rPr>
          <w:rFonts w:hint="eastAsia" w:ascii="Times New Roman" w:hAnsi="Times New Roman"/>
        </w:rPr>
        <w:t>外，学院还应安排评</w:t>
      </w:r>
      <w:r>
        <w:rPr>
          <w:rFonts w:ascii="Times New Roman" w:hAnsi="Times New Roman"/>
        </w:rPr>
        <w:t>阅</w:t>
      </w:r>
      <w:r>
        <w:rPr>
          <w:rFonts w:hint="eastAsia" w:ascii="Times New Roman" w:hAnsi="Times New Roman"/>
        </w:rPr>
        <w:t>老师对毕业论文进行评阅，</w:t>
      </w:r>
      <w:r>
        <w:rPr>
          <w:rFonts w:ascii="Times New Roman" w:hAnsi="Times New Roman"/>
        </w:rPr>
        <w:t>并给出</w:t>
      </w:r>
      <w:r>
        <w:rPr>
          <w:rFonts w:hint="eastAsia" w:ascii="Times New Roman" w:hAnsi="Times New Roman"/>
        </w:rPr>
        <w:t>评阅</w:t>
      </w:r>
      <w:r>
        <w:rPr>
          <w:rFonts w:ascii="Times New Roman" w:hAnsi="Times New Roman"/>
        </w:rPr>
        <w:t>成绩</w:t>
      </w:r>
      <w:r>
        <w:rPr>
          <w:rFonts w:hint="eastAsia" w:ascii="Times New Roman" w:hAnsi="Times New Roman"/>
        </w:rPr>
        <w:t>。</w:t>
      </w:r>
    </w:p>
    <w:p>
      <w:pPr>
        <w:pStyle w:val="2"/>
        <w:tabs>
          <w:tab w:val="left" w:pos="0"/>
        </w:tabs>
        <w:ind w:left="420"/>
        <w:rPr>
          <w:rFonts w:ascii="Times New Roman" w:hAnsi="Times New Roman"/>
        </w:rPr>
      </w:pPr>
      <w:r>
        <w:rPr>
          <w:rFonts w:hint="eastAsia" w:ascii="Times New Roman" w:hAnsi="Times New Roman"/>
        </w:rPr>
        <w:t>第七章 论文抽检</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职能部门负责组织学校层面毕业论文抽检工作，各学院负责本学院毕业论文抽检工作的具体实施。</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毕业论文抽检工作应遵循独立、客观、科学、公正原则，任何单位和个人都不得以任何方式干扰抽检工作的正常进行。</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毕业论文抽检应重点对选题意义、写作安排、逻辑构建、专业能力以及学术规范等进行考察。</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毕业论文抽检名单采取随机抽取的方式确定，抽检毕业论文应覆盖全部本科专业，论文抽检不合格，不能进入论文查重和答辩环节。</w:t>
      </w:r>
    </w:p>
    <w:p>
      <w:pPr>
        <w:pStyle w:val="2"/>
        <w:tabs>
          <w:tab w:val="left" w:pos="0"/>
        </w:tabs>
        <w:ind w:left="420"/>
        <w:rPr>
          <w:rFonts w:ascii="Times New Roman" w:hAnsi="Times New Roman"/>
        </w:rPr>
      </w:pPr>
      <w:r>
        <w:rPr>
          <w:rFonts w:hint="eastAsia" w:ascii="Times New Roman" w:hAnsi="Times New Roman"/>
        </w:rPr>
        <w:t>第八章</w:t>
      </w:r>
      <w:r>
        <w:rPr>
          <w:rFonts w:ascii="Times New Roman" w:hAnsi="Times New Roman"/>
        </w:rPr>
        <w:t xml:space="preserve">  </w:t>
      </w:r>
      <w:r>
        <w:rPr>
          <w:rFonts w:hint="eastAsia" w:ascii="Times New Roman" w:hAnsi="Times New Roman"/>
        </w:rPr>
        <w:t>查重检测</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毕业论文答辩之前，每位学生的毕业论文必须用学校指定的论文检测系统进行查重检测，学校不认可其他检测系统的检测结论。</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按照</w:t>
      </w:r>
      <w:r>
        <w:rPr>
          <w:rFonts w:ascii="Times New Roman" w:hAnsi="Times New Roman"/>
        </w:rPr>
        <w:t>“</w:t>
      </w:r>
      <w:r>
        <w:rPr>
          <w:rFonts w:hint="eastAsia" w:ascii="Times New Roman" w:hAnsi="Times New Roman"/>
        </w:rPr>
        <w:t>学院全检、学校抽检</w:t>
      </w:r>
      <w:r>
        <w:rPr>
          <w:rFonts w:ascii="Times New Roman" w:hAnsi="Times New Roman"/>
        </w:rPr>
        <w:t>”</w:t>
      </w:r>
      <w:r>
        <w:rPr>
          <w:rFonts w:hint="eastAsia" w:ascii="Times New Roman" w:hAnsi="Times New Roman"/>
        </w:rPr>
        <w:t>原则和</w:t>
      </w:r>
      <w:r>
        <w:rPr>
          <w:rFonts w:ascii="Times New Roman" w:hAnsi="Times New Roman"/>
        </w:rPr>
        <w:t>“</w:t>
      </w:r>
      <w:r>
        <w:rPr>
          <w:rFonts w:hint="eastAsia" w:ascii="Times New Roman" w:hAnsi="Times New Roman"/>
        </w:rPr>
        <w:t>先全检、后抽检</w:t>
      </w:r>
      <w:r>
        <w:rPr>
          <w:rFonts w:ascii="Times New Roman" w:hAnsi="Times New Roman"/>
        </w:rPr>
        <w:t>”</w:t>
      </w:r>
      <w:r>
        <w:rPr>
          <w:rFonts w:hint="eastAsia" w:ascii="Times New Roman" w:hAnsi="Times New Roman"/>
        </w:rPr>
        <w:t>程序，开展毕业论文查重检测。</w:t>
      </w:r>
    </w:p>
    <w:p>
      <w:pPr>
        <w:adjustRightInd w:val="0"/>
        <w:spacing w:line="360" w:lineRule="auto"/>
        <w:ind w:firstLine="480" w:firstLineChars="200"/>
        <w:rPr>
          <w:sz w:val="24"/>
        </w:rPr>
      </w:pPr>
      <w:r>
        <w:rPr>
          <w:rFonts w:hint="eastAsia"/>
          <w:sz w:val="24"/>
        </w:rPr>
        <w:t>各学院根据本学院毕业论文答辩工作计划和日程安排，在毕业论文答辩前须对所有参加答辩的毕业论文逐一进行重复率检测。职能部门对各学院的查重结果进行审核，并按一定的比例对毕业论文进行抽检。</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毕业论文重复率检测系统中的复写率与引用率之和称为</w:t>
      </w:r>
      <w:r>
        <w:rPr>
          <w:rFonts w:ascii="Times New Roman" w:hAnsi="Times New Roman"/>
        </w:rPr>
        <w:t>“R</w:t>
      </w:r>
      <w:r>
        <w:rPr>
          <w:rFonts w:hint="eastAsia" w:ascii="Times New Roman" w:hAnsi="Times New Roman"/>
        </w:rPr>
        <w:t>值</w:t>
      </w:r>
      <w:r>
        <w:rPr>
          <w:rFonts w:ascii="Times New Roman" w:hAnsi="Times New Roman"/>
        </w:rPr>
        <w:t>”</w:t>
      </w:r>
      <w:r>
        <w:rPr>
          <w:rFonts w:hint="eastAsia" w:ascii="Times New Roman" w:hAnsi="Times New Roman"/>
        </w:rPr>
        <w:t>，简称论文检测重复率。当</w:t>
      </w:r>
      <w:r>
        <w:rPr>
          <w:rFonts w:ascii="Times New Roman" w:hAnsi="Times New Roman"/>
        </w:rPr>
        <w:t>R&lt;20%</w:t>
      </w:r>
      <w:r>
        <w:rPr>
          <w:rFonts w:hint="eastAsia" w:ascii="Times New Roman" w:hAnsi="Times New Roman"/>
        </w:rPr>
        <w:t>时，视为论文查重检测通过；当</w:t>
      </w:r>
      <w:r>
        <w:rPr>
          <w:rFonts w:ascii="Times New Roman" w:hAnsi="Times New Roman"/>
        </w:rPr>
        <w:t>R</w:t>
      </w:r>
      <w:r>
        <w:rPr>
          <w:rFonts w:hint="eastAsia" w:hAnsi="Times New Roman"/>
        </w:rPr>
        <w:t>≥</w:t>
      </w:r>
      <w:r>
        <w:rPr>
          <w:rFonts w:ascii="Times New Roman" w:hAnsi="Times New Roman"/>
        </w:rPr>
        <w:t>20%</w:t>
      </w:r>
      <w:r>
        <w:rPr>
          <w:rFonts w:hint="eastAsia" w:ascii="Times New Roman" w:hAnsi="Times New Roman"/>
        </w:rPr>
        <w:t>时，视为论文查重检测未通过。</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对毕业论文进行查重检测仅能预防毕业论文写作过程中出现的非正常引用、抄袭等学术不端行为，无法保证毕业论文的整体质量和水平。毕业论文的质量和水平须由指导老师负责认定。</w:t>
      </w:r>
    </w:p>
    <w:p>
      <w:pPr>
        <w:pStyle w:val="2"/>
        <w:tabs>
          <w:tab w:val="left" w:pos="0"/>
        </w:tabs>
        <w:ind w:left="420"/>
        <w:rPr>
          <w:rFonts w:ascii="Times New Roman" w:hAnsi="Times New Roman"/>
        </w:rPr>
      </w:pPr>
      <w:r>
        <w:rPr>
          <w:rFonts w:hint="eastAsia" w:ascii="Times New Roman" w:hAnsi="Times New Roman"/>
        </w:rPr>
        <w:t>第九章</w:t>
      </w:r>
      <w:r>
        <w:rPr>
          <w:rFonts w:ascii="Times New Roman" w:hAnsi="Times New Roman"/>
        </w:rPr>
        <w:t xml:space="preserve">  </w:t>
      </w:r>
      <w:r>
        <w:rPr>
          <w:rFonts w:hint="eastAsia" w:ascii="Times New Roman" w:hAnsi="Times New Roman"/>
        </w:rPr>
        <w:t>答辩与成绩评定</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所有毕业论文均须进行答辩，毕业论文答辩应采用答辩小组以答辩会的方式进行。</w:t>
      </w:r>
    </w:p>
    <w:p>
      <w:pPr>
        <w:pStyle w:val="5"/>
        <w:tabs>
          <w:tab w:val="left" w:pos="0"/>
        </w:tabs>
        <w:adjustRightInd w:val="0"/>
        <w:spacing w:line="400" w:lineRule="exact"/>
        <w:ind w:firstLine="420" w:firstLineChars="175"/>
        <w:rPr>
          <w:rFonts w:ascii="Times New Roman" w:hAnsi="Times New Roman"/>
        </w:rPr>
      </w:pPr>
      <w:r>
        <w:rPr>
          <w:rFonts w:hint="eastAsia" w:ascii="Times New Roman" w:hAnsi="Times New Roman"/>
        </w:rPr>
        <w:t>学生因特殊原因，不</w:t>
      </w:r>
      <w:r>
        <w:rPr>
          <w:rFonts w:ascii="Times New Roman" w:hAnsi="Times New Roman"/>
        </w:rPr>
        <w:t>能参加</w:t>
      </w:r>
      <w:r>
        <w:rPr>
          <w:rFonts w:hint="eastAsia" w:ascii="Times New Roman" w:hAnsi="Times New Roman"/>
        </w:rPr>
        <w:t>线</w:t>
      </w:r>
      <w:r>
        <w:rPr>
          <w:rFonts w:ascii="Times New Roman" w:hAnsi="Times New Roman"/>
        </w:rPr>
        <w:t>下答辩的，</w:t>
      </w:r>
      <w:r>
        <w:rPr>
          <w:rFonts w:hint="eastAsia" w:ascii="Times New Roman" w:hAnsi="Times New Roman"/>
        </w:rPr>
        <w:t>应向学院书面提出申请，经学院审批同意并报职能部门备案，由学院统一组织远程视频答辩。远程视频答辩的组织实施应符合</w:t>
      </w:r>
      <w:r>
        <w:rPr>
          <w:rFonts w:ascii="Times New Roman" w:hAnsi="Times New Roman"/>
        </w:rPr>
        <w:t>《</w:t>
      </w:r>
      <w:r>
        <w:rPr>
          <w:rFonts w:hint="eastAsia" w:ascii="Times New Roman" w:hAnsi="Times New Roman"/>
        </w:rPr>
        <w:t>上海立信会计金融学院普通本科毕业论文（设计）远程视频答辩流程和要求》的</w:t>
      </w:r>
      <w:r>
        <w:rPr>
          <w:rFonts w:ascii="Times New Roman" w:hAnsi="Times New Roman"/>
        </w:rPr>
        <w:t>规定</w:t>
      </w:r>
      <w:r>
        <w:rPr>
          <w:rFonts w:hint="eastAsia" w:ascii="Times New Roman" w:hAnsi="Times New Roman"/>
        </w:rPr>
        <w:t>。</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毕业论文答辩资格：</w:t>
      </w:r>
    </w:p>
    <w:p>
      <w:pPr>
        <w:pStyle w:val="5"/>
        <w:tabs>
          <w:tab w:val="left" w:pos="0"/>
        </w:tabs>
        <w:adjustRightInd w:val="0"/>
        <w:spacing w:line="400" w:lineRule="exact"/>
        <w:ind w:firstLine="420" w:firstLineChars="175"/>
        <w:rPr>
          <w:rFonts w:ascii="Times New Roman" w:hAnsi="Times New Roman"/>
        </w:rPr>
      </w:pPr>
      <w:r>
        <w:rPr>
          <w:rFonts w:hint="eastAsia" w:ascii="Times New Roman" w:hAnsi="Times New Roman"/>
        </w:rPr>
        <w:t>（一）指导教师对毕业论文的评阅成绩为</w:t>
      </w:r>
      <w:r>
        <w:rPr>
          <w:rFonts w:ascii="Times New Roman" w:hAnsi="Times New Roman"/>
        </w:rPr>
        <w:t>“</w:t>
      </w:r>
      <w:r>
        <w:rPr>
          <w:rFonts w:hint="eastAsia" w:ascii="Times New Roman" w:hAnsi="Times New Roman"/>
        </w:rPr>
        <w:t>及格</w:t>
      </w:r>
      <w:r>
        <w:rPr>
          <w:rFonts w:ascii="Times New Roman" w:hAnsi="Times New Roman"/>
        </w:rPr>
        <w:t>”</w:t>
      </w:r>
      <w:r>
        <w:rPr>
          <w:rFonts w:hint="eastAsia" w:ascii="Times New Roman" w:hAnsi="Times New Roman"/>
        </w:rPr>
        <w:t>及以上，且查重检测通过，视为学生获得毕业论文答辩资格。</w:t>
      </w:r>
    </w:p>
    <w:p>
      <w:pPr>
        <w:pStyle w:val="5"/>
        <w:tabs>
          <w:tab w:val="left" w:pos="0"/>
        </w:tabs>
        <w:adjustRightInd w:val="0"/>
        <w:spacing w:line="400" w:lineRule="exact"/>
        <w:ind w:firstLine="420" w:firstLineChars="175"/>
        <w:rPr>
          <w:rFonts w:ascii="Times New Roman" w:hAnsi="Times New Roman"/>
        </w:rPr>
      </w:pPr>
      <w:r>
        <w:rPr>
          <w:rFonts w:hint="eastAsia" w:ascii="Times New Roman" w:hAnsi="Times New Roman"/>
        </w:rPr>
        <w:t>（二）指导教师对毕业论文的评阅成绩为</w:t>
      </w:r>
      <w:r>
        <w:rPr>
          <w:rFonts w:ascii="Times New Roman" w:hAnsi="Times New Roman"/>
        </w:rPr>
        <w:t>“</w:t>
      </w:r>
      <w:r>
        <w:rPr>
          <w:rFonts w:hint="eastAsia" w:ascii="Times New Roman" w:hAnsi="Times New Roman"/>
        </w:rPr>
        <w:t>不及格</w:t>
      </w:r>
      <w:r>
        <w:rPr>
          <w:rFonts w:ascii="Times New Roman" w:hAnsi="Times New Roman"/>
        </w:rPr>
        <w:t>”</w:t>
      </w:r>
      <w:r>
        <w:rPr>
          <w:rFonts w:hint="eastAsia" w:ascii="Times New Roman" w:hAnsi="Times New Roman"/>
        </w:rPr>
        <w:t>，或查重检测不通过，学生不能参加毕业论文答辩，指导老师应及时告知学生。</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学院应成立毕业论文答辩小组，具体负责答辩工作。答辩小组一般由具有讲师以上职称的</w:t>
      </w:r>
      <w:r>
        <w:rPr>
          <w:rFonts w:ascii="Times New Roman" w:hAnsi="Times New Roman"/>
        </w:rPr>
        <w:t>3</w:t>
      </w:r>
      <w:r>
        <w:rPr>
          <w:rFonts w:hint="eastAsia" w:ascii="Times New Roman" w:hAnsi="Times New Roman"/>
        </w:rPr>
        <w:t>～</w:t>
      </w:r>
      <w:r>
        <w:rPr>
          <w:rFonts w:ascii="Times New Roman" w:hAnsi="Times New Roman"/>
        </w:rPr>
        <w:t>5</w:t>
      </w:r>
      <w:r>
        <w:rPr>
          <w:rFonts w:hint="eastAsia" w:ascii="Times New Roman" w:hAnsi="Times New Roman"/>
        </w:rPr>
        <w:t>名教师组成，原则上毕业论文指导老师回避。答辩小组设组长</w:t>
      </w:r>
      <w:r>
        <w:rPr>
          <w:rFonts w:ascii="Times New Roman" w:hAnsi="Times New Roman"/>
        </w:rPr>
        <w:t>1</w:t>
      </w:r>
      <w:r>
        <w:rPr>
          <w:rFonts w:hint="eastAsia" w:ascii="Times New Roman" w:hAnsi="Times New Roman"/>
        </w:rPr>
        <w:t>名，主持答辩工作。学生的汇报情况和回答情况等，填写在《上海立信会计金融学院普通本科毕业论文（设计）答辩记录表》中。答辩小组要对参加毕业</w:t>
      </w:r>
      <w:r>
        <w:rPr>
          <w:rFonts w:ascii="Times New Roman" w:hAnsi="Times New Roman"/>
        </w:rPr>
        <w:t>论文</w:t>
      </w:r>
      <w:r>
        <w:rPr>
          <w:rFonts w:hint="eastAsia" w:ascii="Times New Roman" w:hAnsi="Times New Roman"/>
        </w:rPr>
        <w:t>答辩学生的答辩情况进行评价，写出评定百分制成绩。</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学院应根据实际情况合理制定毕业</w:t>
      </w:r>
      <w:r>
        <w:rPr>
          <w:rFonts w:ascii="Times New Roman" w:hAnsi="Times New Roman"/>
        </w:rPr>
        <w:t>论文</w:t>
      </w:r>
      <w:r>
        <w:rPr>
          <w:rFonts w:hint="eastAsia" w:ascii="Times New Roman" w:hAnsi="Times New Roman"/>
        </w:rPr>
        <w:t>答辩程序，毕业</w:t>
      </w:r>
      <w:r>
        <w:rPr>
          <w:rFonts w:ascii="Times New Roman" w:hAnsi="Times New Roman"/>
        </w:rPr>
        <w:t>论文</w:t>
      </w:r>
      <w:r>
        <w:rPr>
          <w:rFonts w:hint="eastAsia" w:ascii="Times New Roman" w:hAnsi="Times New Roman"/>
        </w:rPr>
        <w:t>答辩程序包括但不限于如下内容：学生介绍毕业论文基本构想和主要内容；撰写毕业设计同学对设计进行演示；教师提问；学生回答问题等。每篇毕业论文的答辩时间原则上不少于</w:t>
      </w:r>
      <w:r>
        <w:rPr>
          <w:rFonts w:ascii="Times New Roman" w:hAnsi="Times New Roman"/>
        </w:rPr>
        <w:t>15</w:t>
      </w:r>
      <w:r>
        <w:rPr>
          <w:rFonts w:hint="eastAsia" w:ascii="Times New Roman" w:hAnsi="Times New Roman"/>
        </w:rPr>
        <w:t>分钟。</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毕业论文总评成绩由</w:t>
      </w:r>
      <w:r>
        <w:rPr>
          <w:rFonts w:ascii="Times New Roman" w:hAnsi="Times New Roman"/>
        </w:rPr>
        <w:t>“</w:t>
      </w:r>
      <w:r>
        <w:rPr>
          <w:rFonts w:hint="eastAsia" w:ascii="Times New Roman" w:hAnsi="Times New Roman"/>
        </w:rPr>
        <w:t>指导教师写作评分</w:t>
      </w:r>
      <w:r>
        <w:rPr>
          <w:rFonts w:ascii="Times New Roman" w:hAnsi="Times New Roman"/>
        </w:rPr>
        <w:t>”</w:t>
      </w:r>
      <w:r>
        <w:rPr>
          <w:rFonts w:hint="eastAsia" w:ascii="Times New Roman" w:hAnsi="Times New Roman"/>
        </w:rPr>
        <w:t>、</w:t>
      </w:r>
      <w:r>
        <w:rPr>
          <w:rFonts w:ascii="Times New Roman" w:hAnsi="Times New Roman"/>
        </w:rPr>
        <w:t>“</w:t>
      </w:r>
      <w:r>
        <w:rPr>
          <w:rFonts w:hint="eastAsia" w:ascii="Times New Roman" w:hAnsi="Times New Roman"/>
        </w:rPr>
        <w:t>评阅老师写作评分</w:t>
      </w:r>
      <w:r>
        <w:rPr>
          <w:rFonts w:ascii="Times New Roman" w:hAnsi="Times New Roman"/>
        </w:rPr>
        <w:t>”</w:t>
      </w:r>
      <w:r>
        <w:rPr>
          <w:rFonts w:hint="eastAsia" w:ascii="Times New Roman" w:hAnsi="Times New Roman"/>
        </w:rPr>
        <w:t>和</w:t>
      </w:r>
      <w:r>
        <w:rPr>
          <w:rFonts w:ascii="Times New Roman" w:hAnsi="Times New Roman"/>
        </w:rPr>
        <w:t>“</w:t>
      </w:r>
      <w:r>
        <w:rPr>
          <w:rFonts w:hint="eastAsia" w:ascii="Times New Roman" w:hAnsi="Times New Roman"/>
        </w:rPr>
        <w:t>答辩小组给出的答辩评分</w:t>
      </w:r>
      <w:r>
        <w:rPr>
          <w:rFonts w:ascii="Times New Roman" w:hAnsi="Times New Roman"/>
        </w:rPr>
        <w:t>”</w:t>
      </w:r>
      <w:r>
        <w:rPr>
          <w:rFonts w:hint="eastAsia" w:ascii="Times New Roman" w:hAnsi="Times New Roman"/>
        </w:rPr>
        <w:t>组成，各部分按照</w:t>
      </w:r>
      <w:r>
        <w:rPr>
          <w:rFonts w:ascii="Times New Roman" w:hAnsi="Times New Roman"/>
        </w:rPr>
        <w:t>40%</w:t>
      </w:r>
      <w:r>
        <w:rPr>
          <w:rFonts w:hint="eastAsia" w:ascii="Times New Roman" w:hAnsi="Times New Roman"/>
        </w:rPr>
        <w:t>、</w:t>
      </w:r>
      <w:r>
        <w:rPr>
          <w:rFonts w:ascii="Times New Roman" w:hAnsi="Times New Roman"/>
        </w:rPr>
        <w:t>20%</w:t>
      </w:r>
      <w:r>
        <w:rPr>
          <w:rFonts w:hint="eastAsia" w:ascii="Times New Roman" w:hAnsi="Times New Roman"/>
        </w:rPr>
        <w:t>和</w:t>
      </w:r>
      <w:r>
        <w:rPr>
          <w:rFonts w:ascii="Times New Roman" w:hAnsi="Times New Roman"/>
        </w:rPr>
        <w:t>40%</w:t>
      </w:r>
      <w:r>
        <w:rPr>
          <w:rFonts w:hint="eastAsia" w:ascii="Times New Roman" w:hAnsi="Times New Roman"/>
        </w:rPr>
        <w:t>比例进行计算，公式如下：</w:t>
      </w:r>
    </w:p>
    <w:p>
      <w:pPr>
        <w:pStyle w:val="5"/>
        <w:tabs>
          <w:tab w:val="left" w:pos="0"/>
        </w:tabs>
        <w:ind w:firstLine="420" w:firstLineChars="175"/>
        <w:rPr>
          <w:rFonts w:ascii="Times New Roman" w:hAnsi="Times New Roman"/>
        </w:rPr>
      </w:pPr>
      <w:r>
        <w:rPr>
          <w:rFonts w:hint="eastAsia" w:ascii="Times New Roman" w:hAnsi="Times New Roman"/>
        </w:rPr>
        <w:t>毕业论文总评成绩</w:t>
      </w:r>
      <w:r>
        <w:rPr>
          <w:rFonts w:ascii="Times New Roman" w:hAnsi="Times New Roman"/>
        </w:rPr>
        <w:t>=</w:t>
      </w:r>
      <w:r>
        <w:rPr>
          <w:rFonts w:hint="eastAsia" w:ascii="Times New Roman" w:hAnsi="Times New Roman"/>
        </w:rPr>
        <w:t>指导老师评分</w:t>
      </w:r>
      <w:r>
        <w:rPr>
          <w:rFonts w:ascii="Times New Roman" w:hAnsi="Times New Roman"/>
        </w:rPr>
        <w:t>×40%+</w:t>
      </w:r>
      <w:r>
        <w:rPr>
          <w:rFonts w:hint="eastAsia" w:ascii="Times New Roman" w:hAnsi="Times New Roman"/>
        </w:rPr>
        <w:t>评阅老师评分</w:t>
      </w:r>
      <w:r>
        <w:rPr>
          <w:rFonts w:ascii="Times New Roman" w:hAnsi="Times New Roman"/>
        </w:rPr>
        <w:t>×20%+</w:t>
      </w:r>
      <w:r>
        <w:rPr>
          <w:rFonts w:hint="eastAsia" w:ascii="Times New Roman" w:hAnsi="Times New Roman"/>
        </w:rPr>
        <w:t>答辩评分</w:t>
      </w:r>
      <w:r>
        <w:rPr>
          <w:rFonts w:ascii="Times New Roman" w:hAnsi="Times New Roman"/>
        </w:rPr>
        <w:t>×40%</w:t>
      </w:r>
    </w:p>
    <w:p>
      <w:pPr>
        <w:pStyle w:val="5"/>
        <w:tabs>
          <w:tab w:val="left" w:pos="0"/>
        </w:tabs>
        <w:ind w:firstLine="420" w:firstLineChars="175"/>
        <w:rPr>
          <w:rFonts w:ascii="Times New Roman" w:hAnsi="Times New Roman"/>
        </w:rPr>
      </w:pPr>
      <w:r>
        <w:rPr>
          <w:rFonts w:hint="eastAsia" w:ascii="Times New Roman" w:hAnsi="Times New Roman"/>
        </w:rPr>
        <w:t>毕业论文总评成绩用百分制来表示，由毕业论文答辩小组最终确定。毕业论文成绩优秀率原则上不得超过本专业当年毕业生的</w:t>
      </w:r>
      <w:r>
        <w:rPr>
          <w:rFonts w:ascii="Times New Roman" w:hAnsi="Times New Roman"/>
        </w:rPr>
        <w:t>15%</w:t>
      </w:r>
      <w:r>
        <w:rPr>
          <w:rFonts w:hint="eastAsia" w:ascii="Times New Roman" w:hAnsi="Times New Roman"/>
        </w:rPr>
        <w:t>。</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毕业论文存在抄袭、篡改、伪造等学术不端行为，情节严重者，或者代写论文、买卖论文者，毕业论文成绩记为</w:t>
      </w:r>
      <w:r>
        <w:rPr>
          <w:rFonts w:ascii="Times New Roman" w:hAnsi="Times New Roman"/>
        </w:rPr>
        <w:t>0</w:t>
      </w:r>
      <w:r>
        <w:rPr>
          <w:rFonts w:hint="eastAsia" w:ascii="Times New Roman" w:hAnsi="Times New Roman"/>
        </w:rPr>
        <w:t>分，并按《上海立信会计金融学院学生违纪处分管理规定（修订）》给予相应的处分。</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各学院组织本学院优秀毕业论文的评选工作，按照不高于各专业毕业人数</w:t>
      </w:r>
      <w:r>
        <w:rPr>
          <w:rFonts w:ascii="Times New Roman" w:hAnsi="Times New Roman"/>
        </w:rPr>
        <w:t>5%</w:t>
      </w:r>
      <w:r>
        <w:rPr>
          <w:rFonts w:hint="eastAsia" w:ascii="Times New Roman" w:hAnsi="Times New Roman"/>
        </w:rPr>
        <w:t>的比例向学校推荐</w:t>
      </w:r>
      <w:r>
        <w:rPr>
          <w:rFonts w:ascii="Times New Roman" w:hAnsi="Times New Roman"/>
        </w:rPr>
        <w:t>“</w:t>
      </w:r>
      <w:r>
        <w:rPr>
          <w:rFonts w:hint="eastAsia" w:ascii="Times New Roman" w:hAnsi="Times New Roman"/>
        </w:rPr>
        <w:t>优秀本科毕业论文</w:t>
      </w:r>
      <w:r>
        <w:rPr>
          <w:rFonts w:ascii="Times New Roman" w:hAnsi="Times New Roman"/>
        </w:rPr>
        <w:t>”</w:t>
      </w:r>
      <w:r>
        <w:rPr>
          <w:rFonts w:hint="eastAsia" w:ascii="Times New Roman" w:hAnsi="Times New Roman"/>
        </w:rPr>
        <w:t>，并对优秀本科毕业论文的指导老师给予适当奖励。</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各学院应在第八学期第十四周前完成毕业论文的评定、成绩汇总工作，并将学生毕业论文最终成绩汇总制作成绩单，由主管领导签字并加盖公章后上报职能部门。</w:t>
      </w:r>
    </w:p>
    <w:p>
      <w:pPr>
        <w:pStyle w:val="2"/>
        <w:tabs>
          <w:tab w:val="left" w:pos="0"/>
        </w:tabs>
        <w:ind w:left="420"/>
        <w:rPr>
          <w:rFonts w:ascii="Times New Roman" w:hAnsi="Times New Roman"/>
        </w:rPr>
      </w:pPr>
      <w:r>
        <w:rPr>
          <w:rFonts w:hint="eastAsia" w:ascii="Times New Roman" w:hAnsi="Times New Roman"/>
        </w:rPr>
        <w:t>第十章</w:t>
      </w:r>
      <w:r>
        <w:rPr>
          <w:rFonts w:ascii="Times New Roman" w:hAnsi="Times New Roman"/>
        </w:rPr>
        <w:t xml:space="preserve">  </w:t>
      </w:r>
      <w:r>
        <w:rPr>
          <w:rFonts w:hint="eastAsia" w:ascii="Times New Roman" w:hAnsi="Times New Roman"/>
        </w:rPr>
        <w:t>资料、知识产权和档案管理</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指导教师认为有价值的毕业论文资料（图纸、文档资料、实验记载、原始数据、计算数据、调研记录、程序、图片及其他有价值的资料）应由指导教师收回，统一由学院保管或销毁。</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毕业论文工作结束后，各学院应将学生毕业论文及相关指导资料归类整理存档，以便进行质量监控评价和各级检查。毕业论文档案内的印章和签名必须是原件。</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毕业论文经指导教师同意定稿后，按照《上海立信会计金融学院普通本科毕业论文（设计）格式与印制规范》的</w:t>
      </w:r>
      <w:r>
        <w:rPr>
          <w:rFonts w:ascii="Times New Roman" w:hAnsi="Times New Roman"/>
        </w:rPr>
        <w:t>要求</w:t>
      </w:r>
      <w:r>
        <w:rPr>
          <w:rFonts w:hint="eastAsia" w:ascii="Times New Roman" w:hAnsi="Times New Roman"/>
        </w:rPr>
        <w:t>打印并装订一式两份，一份装入毕业论文档案留存学院，另一份学生自己留存。</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学生毕业论文由各学院存档</w:t>
      </w:r>
      <w:r>
        <w:rPr>
          <w:rFonts w:ascii="Times New Roman" w:hAnsi="Times New Roman"/>
        </w:rPr>
        <w:t>6</w:t>
      </w:r>
      <w:r>
        <w:rPr>
          <w:rFonts w:hint="eastAsia" w:ascii="Times New Roman" w:hAnsi="Times New Roman"/>
        </w:rPr>
        <w:t>年，其中校级优秀本</w:t>
      </w:r>
      <w:r>
        <w:rPr>
          <w:rFonts w:ascii="Times New Roman" w:hAnsi="Times New Roman"/>
        </w:rPr>
        <w:t>科</w:t>
      </w:r>
      <w:r>
        <w:rPr>
          <w:rFonts w:hint="eastAsia" w:ascii="Times New Roman" w:hAnsi="Times New Roman"/>
        </w:rPr>
        <w:t>毕业论文由学校档案馆永久存档。</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学生呈交的毕业论文是在老师的指导下取得的成果，该成果归上海立信会计金融学院与呈</w:t>
      </w:r>
      <w:r>
        <w:rPr>
          <w:rFonts w:ascii="Times New Roman" w:hAnsi="Times New Roman"/>
        </w:rPr>
        <w:t>交学生</w:t>
      </w:r>
      <w:r>
        <w:rPr>
          <w:rFonts w:hint="eastAsia" w:ascii="Times New Roman" w:hAnsi="Times New Roman"/>
        </w:rPr>
        <w:t>共有。</w:t>
      </w:r>
    </w:p>
    <w:p>
      <w:pPr>
        <w:pStyle w:val="2"/>
        <w:tabs>
          <w:tab w:val="left" w:pos="0"/>
        </w:tabs>
        <w:ind w:left="420"/>
        <w:rPr>
          <w:rFonts w:ascii="Times New Roman" w:hAnsi="Times New Roman"/>
        </w:rPr>
      </w:pPr>
      <w:r>
        <w:rPr>
          <w:rFonts w:hint="eastAsia" w:ascii="Times New Roman" w:hAnsi="Times New Roman"/>
        </w:rPr>
        <w:t>第十一章</w:t>
      </w:r>
      <w:r>
        <w:rPr>
          <w:rFonts w:ascii="Times New Roman" w:hAnsi="Times New Roman"/>
        </w:rPr>
        <w:t xml:space="preserve">  </w:t>
      </w:r>
      <w:r>
        <w:rPr>
          <w:rFonts w:hint="eastAsia" w:ascii="Times New Roman" w:hAnsi="Times New Roman"/>
        </w:rPr>
        <w:t>质量检查</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学校和各学院应根据本科教学计划和本管理办法，定期或不定期检查毕业论文的有关工作。检查内容主要包括：毕业论文选题是否符合专业的人才培养目标；毕业论文选题的现实意义和实际价值；学生查阅文献资料的能力、综合运用所学知识能力、研究设计能力、研究方法和手段应用能力；学生毕业论文的成果质量；指导教师及毕业论文评阅人的评阅情况；资料归档情况等。</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学校教学督导事务管理部门负责定期组织专家对毕业论文进行抽查与评估，并将结果反馈给各学院。</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为保证毕业论文的质量，不断提高毕业论文水平，每届毕业论文工作结束后，各学院应认真做好毕业</w:t>
      </w:r>
      <w:r>
        <w:rPr>
          <w:rFonts w:ascii="Times New Roman" w:hAnsi="Times New Roman"/>
        </w:rPr>
        <w:t>论文工作</w:t>
      </w:r>
      <w:r>
        <w:rPr>
          <w:rFonts w:hint="eastAsia" w:ascii="Times New Roman" w:hAnsi="Times New Roman"/>
        </w:rPr>
        <w:t>总结，并撰写一份毕业论文工作总结报告，以书面形式报送职能部门。</w:t>
      </w:r>
    </w:p>
    <w:p>
      <w:pPr>
        <w:pStyle w:val="2"/>
        <w:rPr>
          <w:rFonts w:ascii="Times New Roman" w:hAnsi="Times New Roman"/>
        </w:rPr>
      </w:pPr>
      <w:r>
        <w:rPr>
          <w:rFonts w:hint="eastAsia" w:ascii="Times New Roman" w:hAnsi="Times New Roman"/>
        </w:rPr>
        <w:t>第十二章</w:t>
      </w:r>
      <w:r>
        <w:rPr>
          <w:rFonts w:ascii="Times New Roman" w:hAnsi="Times New Roman"/>
        </w:rPr>
        <w:t xml:space="preserve">  </w:t>
      </w:r>
      <w:r>
        <w:rPr>
          <w:rFonts w:hint="eastAsia" w:ascii="Times New Roman" w:hAnsi="Times New Roman"/>
        </w:rPr>
        <w:t>附则</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各学院根据专业人</w:t>
      </w:r>
      <w:r>
        <w:rPr>
          <w:rFonts w:ascii="Times New Roman" w:hAnsi="Times New Roman"/>
        </w:rPr>
        <w:t>才</w:t>
      </w:r>
      <w:r>
        <w:rPr>
          <w:rFonts w:hint="eastAsia" w:ascii="Times New Roman" w:hAnsi="Times New Roman"/>
        </w:rPr>
        <w:t>培养要</w:t>
      </w:r>
      <w:r>
        <w:rPr>
          <w:rFonts w:ascii="Times New Roman" w:hAnsi="Times New Roman"/>
        </w:rPr>
        <w:t>求和</w:t>
      </w:r>
      <w:r>
        <w:rPr>
          <w:rFonts w:hint="eastAsia" w:ascii="Times New Roman" w:hAnsi="Times New Roman"/>
        </w:rPr>
        <w:t>特点，在不违背本办法的前提下，制定具体的实施细则。</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全日制专升本毕业论文、本科辅修专业学</w:t>
      </w:r>
      <w:r>
        <w:rPr>
          <w:rFonts w:ascii="Times New Roman" w:hAnsi="Times New Roman"/>
        </w:rPr>
        <w:t>位</w:t>
      </w:r>
      <w:r>
        <w:rPr>
          <w:rFonts w:hint="eastAsia" w:ascii="Times New Roman" w:hAnsi="Times New Roman"/>
        </w:rPr>
        <w:t>毕业论文、第二学士学位论文参照本</w:t>
      </w:r>
      <w:r>
        <w:rPr>
          <w:rFonts w:ascii="Times New Roman" w:hAnsi="Times New Roman"/>
        </w:rPr>
        <w:t>办法</w:t>
      </w:r>
      <w:r>
        <w:rPr>
          <w:rFonts w:hint="eastAsia" w:ascii="Times New Roman" w:hAnsi="Times New Roman"/>
        </w:rPr>
        <w:t>执行。</w:t>
      </w:r>
    </w:p>
    <w:p>
      <w:pPr>
        <w:pStyle w:val="5"/>
        <w:numPr>
          <w:ilvl w:val="0"/>
          <w:numId w:val="1"/>
        </w:numPr>
        <w:adjustRightInd w:val="0"/>
        <w:spacing w:line="400" w:lineRule="exact"/>
        <w:ind w:firstLineChars="0"/>
        <w:rPr>
          <w:rFonts w:ascii="Times New Roman" w:hAnsi="Times New Roman"/>
        </w:rPr>
      </w:pPr>
      <w:r>
        <w:rPr>
          <w:rFonts w:hint="eastAsia" w:ascii="Times New Roman" w:hAnsi="Times New Roman"/>
        </w:rPr>
        <w:t>本办法由负责普通本科教学管理的职能部门负责解释。</w:t>
      </w:r>
    </w:p>
    <w:p>
      <w:pPr>
        <w:pStyle w:val="5"/>
        <w:numPr>
          <w:ilvl w:val="0"/>
          <w:numId w:val="1"/>
        </w:numPr>
        <w:adjustRightInd w:val="0"/>
        <w:spacing w:line="400" w:lineRule="exact"/>
        <w:ind w:firstLineChars="0"/>
        <w:rPr>
          <w:rFonts w:ascii="Times New Roman" w:hAnsi="Times New Roman"/>
          <w:color w:val="FF0000"/>
        </w:rPr>
      </w:pPr>
      <w:r>
        <w:rPr>
          <w:rFonts w:hint="eastAsia" w:ascii="Times New Roman" w:hAnsi="Times New Roman"/>
        </w:rPr>
        <w:t>本办法自发布之日起施行，原《上海立信会计金融学院普通本科毕业论文（设计）管理办法（修订）》（立信会计金融教〔2018〕5号）同</w:t>
      </w:r>
      <w:r>
        <w:rPr>
          <w:rFonts w:ascii="Times New Roman" w:hAnsi="Times New Roman"/>
        </w:rPr>
        <w:t>时</w:t>
      </w:r>
      <w:r>
        <w:rPr>
          <w:rFonts w:hint="eastAsia" w:ascii="Times New Roman" w:hAnsi="Times New Roman"/>
        </w:rPr>
        <w:t>废止。</w:t>
      </w:r>
    </w:p>
    <w:p>
      <w:pPr>
        <w:adjustRightInd w:val="0"/>
        <w:spacing w:line="360" w:lineRule="auto"/>
        <w:rPr>
          <w:color w:val="000000"/>
          <w:sz w:val="24"/>
        </w:rPr>
      </w:pPr>
    </w:p>
    <w:p>
      <w:pPr>
        <w:adjustRightInd w:val="0"/>
        <w:spacing w:line="360" w:lineRule="auto"/>
        <w:rPr>
          <w:color w:val="000000"/>
          <w:sz w:val="24"/>
        </w:rPr>
        <w:sectPr>
          <w:pgSz w:w="11906" w:h="16838"/>
          <w:pgMar w:top="1440" w:right="1800" w:bottom="1440" w:left="1800" w:header="851" w:footer="992" w:gutter="0"/>
          <w:cols w:space="425" w:num="1"/>
          <w:docGrid w:type="lines" w:linePitch="312" w:charSpace="0"/>
        </w:sectPr>
      </w:pPr>
    </w:p>
    <w:p>
      <w:pPr>
        <w:adjustRightInd w:val="0"/>
        <w:spacing w:line="360" w:lineRule="auto"/>
        <w:rPr>
          <w:sz w:val="24"/>
        </w:rPr>
      </w:pPr>
      <w:r>
        <w:rPr>
          <w:sz w:val="24"/>
        </w:rPr>
        <w:t>附件1</w:t>
      </w:r>
    </w:p>
    <w:p>
      <w:pPr>
        <w:adjustRightInd w:val="0"/>
        <w:snapToGrid w:val="0"/>
        <w:spacing w:line="360" w:lineRule="auto"/>
        <w:jc w:val="center"/>
        <w:rPr>
          <w:b/>
          <w:bCs/>
          <w:sz w:val="32"/>
          <w:szCs w:val="28"/>
        </w:rPr>
      </w:pPr>
      <w:r>
        <w:rPr>
          <w:b/>
          <w:bCs/>
          <w:sz w:val="32"/>
          <w:szCs w:val="28"/>
        </w:rPr>
        <w:t>上海立信会计金融学院</w:t>
      </w:r>
    </w:p>
    <w:p>
      <w:pPr>
        <w:pStyle w:val="2"/>
        <w:spacing w:before="0"/>
      </w:pPr>
      <w:r>
        <w:t>普通本科毕业论文（设计）格式与印制规范（试行）</w:t>
      </w:r>
    </w:p>
    <w:p>
      <w:pPr>
        <w:adjustRightInd w:val="0"/>
        <w:spacing w:line="360" w:lineRule="auto"/>
        <w:ind w:firstLine="480" w:firstLineChars="200"/>
        <w:rPr>
          <w:sz w:val="24"/>
        </w:rPr>
      </w:pPr>
      <w:r>
        <w:rPr>
          <w:sz w:val="24"/>
        </w:rPr>
        <w:t>毕业论文（含毕业设计，以下简称毕业论文）是本科教学的重要内容。为加强这一工作环节的管理，规范毕业论文写作，保证毕业论文的质量，特制定本规范。</w:t>
      </w:r>
    </w:p>
    <w:p>
      <w:pPr>
        <w:pStyle w:val="3"/>
        <w:numPr>
          <w:ilvl w:val="1"/>
          <w:numId w:val="0"/>
        </w:numPr>
        <w:ind w:left="420" w:leftChars="200"/>
        <w:rPr>
          <w:rFonts w:ascii="Times New Roman" w:hAnsi="Times New Roman" w:cs="Times New Roman"/>
        </w:rPr>
      </w:pPr>
      <w:r>
        <w:rPr>
          <w:rFonts w:ascii="Times New Roman" w:hAnsi="Times New Roman" w:cs="Times New Roman"/>
        </w:rPr>
        <w:t>一、总则</w:t>
      </w:r>
    </w:p>
    <w:p>
      <w:pPr>
        <w:pStyle w:val="4"/>
        <w:keepNext w:val="0"/>
        <w:keepLines w:val="0"/>
        <w:numPr>
          <w:ilvl w:val="0"/>
          <w:numId w:val="6"/>
        </w:numPr>
        <w:spacing w:before="0" w:after="0" w:line="360" w:lineRule="auto"/>
        <w:ind w:firstLine="643" w:firstLineChars="200"/>
        <w:jc w:val="left"/>
        <w:rPr>
          <w:bCs w:val="0"/>
        </w:rPr>
      </w:pPr>
      <w:r>
        <w:rPr>
          <w:bCs w:val="0"/>
        </w:rPr>
        <w:t>适用范围</w:t>
      </w:r>
    </w:p>
    <w:p>
      <w:pPr>
        <w:adjustRightInd w:val="0"/>
        <w:spacing w:line="360" w:lineRule="auto"/>
        <w:ind w:firstLine="480" w:firstLineChars="200"/>
        <w:rPr>
          <w:sz w:val="24"/>
        </w:rPr>
      </w:pPr>
      <w:r>
        <w:rPr>
          <w:sz w:val="24"/>
        </w:rPr>
        <w:t>本规范适用于</w:t>
      </w:r>
      <w:r>
        <w:rPr>
          <w:rFonts w:hint="eastAsia"/>
          <w:sz w:val="24"/>
        </w:rPr>
        <w:t>学</w:t>
      </w:r>
      <w:r>
        <w:rPr>
          <w:sz w:val="24"/>
        </w:rPr>
        <w:t>校</w:t>
      </w:r>
      <w:r>
        <w:rPr>
          <w:rFonts w:hint="eastAsia"/>
          <w:sz w:val="24"/>
        </w:rPr>
        <w:t>全日制</w:t>
      </w:r>
      <w:r>
        <w:rPr>
          <w:sz w:val="24"/>
        </w:rPr>
        <w:t>普通本科</w:t>
      </w:r>
      <w:r>
        <w:rPr>
          <w:rFonts w:hint="eastAsia"/>
          <w:sz w:val="24"/>
        </w:rPr>
        <w:t>生</w:t>
      </w:r>
      <w:r>
        <w:rPr>
          <w:sz w:val="24"/>
        </w:rPr>
        <w:t>毕业论文的撰写</w:t>
      </w:r>
      <w:r>
        <w:rPr>
          <w:rFonts w:hint="eastAsia"/>
          <w:sz w:val="24"/>
        </w:rPr>
        <w:t>，全日制专升本毕业论文、本科辅修专业毕业论文、第二学士学位论文参照执行</w:t>
      </w:r>
      <w:r>
        <w:rPr>
          <w:sz w:val="24"/>
        </w:rPr>
        <w:t>。</w:t>
      </w:r>
      <w:r>
        <w:rPr>
          <w:rFonts w:hint="eastAsia"/>
          <w:sz w:val="24"/>
        </w:rPr>
        <w:t>外语类</w:t>
      </w:r>
      <w:r>
        <w:rPr>
          <w:sz w:val="24"/>
        </w:rPr>
        <w:t>专业本科生</w:t>
      </w:r>
      <w:r>
        <w:rPr>
          <w:rFonts w:hint="eastAsia"/>
          <w:sz w:val="24"/>
        </w:rPr>
        <w:t>用外文写作的毕业论文</w:t>
      </w:r>
      <w:r>
        <w:rPr>
          <w:sz w:val="24"/>
        </w:rPr>
        <w:t>、国际方向班本科生</w:t>
      </w:r>
      <w:r>
        <w:rPr>
          <w:rFonts w:hint="eastAsia"/>
          <w:sz w:val="24"/>
        </w:rPr>
        <w:t>采用英文写作</w:t>
      </w:r>
      <w:r>
        <w:rPr>
          <w:sz w:val="24"/>
        </w:rPr>
        <w:t>的毕业论文可参照本规范，</w:t>
      </w:r>
      <w:r>
        <w:rPr>
          <w:rFonts w:hint="eastAsia"/>
          <w:sz w:val="24"/>
        </w:rPr>
        <w:t>由各学院制定具体格式规范，报教务处备案</w:t>
      </w:r>
      <w:r>
        <w:rPr>
          <w:sz w:val="24"/>
        </w:rPr>
        <w:t>。</w:t>
      </w:r>
    </w:p>
    <w:p>
      <w:pPr>
        <w:pStyle w:val="4"/>
        <w:keepNext w:val="0"/>
        <w:keepLines w:val="0"/>
        <w:numPr>
          <w:ilvl w:val="0"/>
          <w:numId w:val="6"/>
        </w:numPr>
        <w:spacing w:before="0" w:after="0" w:line="360" w:lineRule="auto"/>
        <w:ind w:firstLine="643" w:firstLineChars="200"/>
        <w:jc w:val="left"/>
        <w:rPr>
          <w:bCs w:val="0"/>
        </w:rPr>
      </w:pPr>
      <w:r>
        <w:rPr>
          <w:bCs w:val="0"/>
        </w:rPr>
        <w:t>执行与监督</w:t>
      </w:r>
    </w:p>
    <w:p>
      <w:pPr>
        <w:adjustRightInd w:val="0"/>
        <w:spacing w:line="360" w:lineRule="auto"/>
        <w:ind w:firstLine="480" w:firstLineChars="200"/>
        <w:rPr>
          <w:sz w:val="24"/>
        </w:rPr>
      </w:pPr>
      <w:r>
        <w:rPr>
          <w:sz w:val="24"/>
        </w:rPr>
        <w:t>本规范由毕业论文指导教师负责指导学生执行。不符合本规范要求的毕业论文原则上不能提交答辩。</w:t>
      </w:r>
    </w:p>
    <w:p>
      <w:pPr>
        <w:pStyle w:val="3"/>
        <w:numPr>
          <w:ilvl w:val="1"/>
          <w:numId w:val="0"/>
        </w:numPr>
        <w:ind w:left="420" w:leftChars="200"/>
        <w:rPr>
          <w:rFonts w:ascii="Times New Roman" w:hAnsi="Times New Roman" w:cs="Times New Roman"/>
        </w:rPr>
      </w:pPr>
      <w:r>
        <w:rPr>
          <w:rFonts w:ascii="Times New Roman" w:hAnsi="Times New Roman" w:cs="Times New Roman"/>
        </w:rPr>
        <w:t>二、毕业论文</w:t>
      </w:r>
      <w:r>
        <w:rPr>
          <w:rFonts w:hint="eastAsia" w:ascii="Times New Roman" w:hAnsi="Times New Roman" w:cs="Times New Roman"/>
        </w:rPr>
        <w:t>的主要</w:t>
      </w:r>
      <w:r>
        <w:rPr>
          <w:rFonts w:ascii="Times New Roman" w:hAnsi="Times New Roman" w:cs="Times New Roman"/>
        </w:rPr>
        <w:t>结构</w:t>
      </w:r>
    </w:p>
    <w:p>
      <w:pPr>
        <w:pStyle w:val="4"/>
        <w:ind w:left="420" w:leftChars="200"/>
      </w:pPr>
      <w:r>
        <w:t>（一）论文结构的组成</w:t>
      </w:r>
    </w:p>
    <w:p>
      <w:pPr>
        <w:adjustRightInd w:val="0"/>
        <w:spacing w:line="360" w:lineRule="auto"/>
        <w:ind w:firstLine="480" w:firstLineChars="200"/>
        <w:rPr>
          <w:sz w:val="24"/>
        </w:rPr>
      </w:pPr>
      <w:r>
        <w:rPr>
          <w:sz w:val="24"/>
        </w:rPr>
        <w:t>本科生毕业论文一般应包括以下</w:t>
      </w:r>
      <w:r>
        <w:rPr>
          <w:rFonts w:hint="eastAsia"/>
          <w:sz w:val="24"/>
        </w:rPr>
        <w:t>部分</w:t>
      </w:r>
      <w:r>
        <w:rPr>
          <w:sz w:val="24"/>
        </w:rPr>
        <w:t>（按顺序）：封面、摘要</w:t>
      </w:r>
      <w:r>
        <w:rPr>
          <w:rFonts w:hint="eastAsia"/>
          <w:sz w:val="24"/>
        </w:rPr>
        <w:t>和</w:t>
      </w:r>
      <w:r>
        <w:rPr>
          <w:sz w:val="24"/>
        </w:rPr>
        <w:t>关键词（包括中文摘要</w:t>
      </w:r>
      <w:r>
        <w:rPr>
          <w:rFonts w:hint="eastAsia"/>
          <w:sz w:val="24"/>
        </w:rPr>
        <w:t>和关键词</w:t>
      </w:r>
      <w:r>
        <w:rPr>
          <w:sz w:val="24"/>
        </w:rPr>
        <w:t>、</w:t>
      </w:r>
      <w:r>
        <w:rPr>
          <w:rFonts w:hint="eastAsia"/>
          <w:sz w:val="24"/>
        </w:rPr>
        <w:t>英</w:t>
      </w:r>
      <w:r>
        <w:rPr>
          <w:sz w:val="24"/>
        </w:rPr>
        <w:t>文摘要</w:t>
      </w:r>
      <w:r>
        <w:rPr>
          <w:rFonts w:hint="eastAsia"/>
          <w:sz w:val="24"/>
        </w:rPr>
        <w:t>和关键词</w:t>
      </w:r>
      <w:r>
        <w:rPr>
          <w:sz w:val="24"/>
        </w:rPr>
        <w:t>）、目录、正文、参考文献、致谢、附录。其中“附录”可视具体情况安排，其余为必备项目。</w:t>
      </w:r>
    </w:p>
    <w:p>
      <w:pPr>
        <w:pStyle w:val="4"/>
        <w:ind w:left="420" w:leftChars="200"/>
      </w:pPr>
      <w:r>
        <w:t>（二）封面</w:t>
      </w:r>
    </w:p>
    <w:p>
      <w:pPr>
        <w:adjustRightInd w:val="0"/>
        <w:spacing w:line="360" w:lineRule="auto"/>
        <w:ind w:firstLine="480" w:firstLineChars="200"/>
        <w:rPr>
          <w:sz w:val="24"/>
        </w:rPr>
      </w:pPr>
      <w:r>
        <w:rPr>
          <w:sz w:val="24"/>
        </w:rPr>
        <w:t>封面</w:t>
      </w:r>
      <w:r>
        <w:rPr>
          <w:rFonts w:hint="eastAsia"/>
          <w:sz w:val="24"/>
        </w:rPr>
        <w:t>包括</w:t>
      </w:r>
      <w:r>
        <w:rPr>
          <w:sz w:val="24"/>
        </w:rPr>
        <w:t>文头、毕业论文标题、学生姓名及学号、所属学院、专业、班级、指导教师姓名、日期等</w:t>
      </w:r>
      <w:r>
        <w:rPr>
          <w:rFonts w:hint="eastAsia"/>
          <w:sz w:val="24"/>
        </w:rPr>
        <w:t>内容</w:t>
      </w:r>
      <w:r>
        <w:rPr>
          <w:sz w:val="24"/>
        </w:rPr>
        <w:t>。</w:t>
      </w:r>
      <w:r>
        <w:rPr>
          <w:rFonts w:hint="eastAsia"/>
          <w:sz w:val="24"/>
        </w:rPr>
        <w:t>正式提交的论文，应使用</w:t>
      </w:r>
      <w:r>
        <w:rPr>
          <w:sz w:val="24"/>
        </w:rPr>
        <w:t>上海立信会计金融学院统一</w:t>
      </w:r>
      <w:r>
        <w:rPr>
          <w:rFonts w:hint="eastAsia"/>
          <w:sz w:val="24"/>
        </w:rPr>
        <w:t>规定的封面</w:t>
      </w:r>
      <w:r>
        <w:rPr>
          <w:sz w:val="24"/>
        </w:rPr>
        <w:t>。</w:t>
      </w:r>
    </w:p>
    <w:p>
      <w:pPr>
        <w:adjustRightInd w:val="0"/>
        <w:spacing w:line="360" w:lineRule="auto"/>
        <w:ind w:firstLine="480" w:firstLineChars="200"/>
        <w:rPr>
          <w:sz w:val="24"/>
        </w:rPr>
      </w:pPr>
      <w:r>
        <w:rPr>
          <w:sz w:val="24"/>
        </w:rPr>
        <w:t>毕业论文标题应是整篇论文总体内容的集中体现，力求简洁，严格控制在25个汉字以内，必要时可用副标题对正题加以补充。</w:t>
      </w:r>
    </w:p>
    <w:p>
      <w:pPr>
        <w:pStyle w:val="4"/>
        <w:numPr>
          <w:ilvl w:val="2"/>
          <w:numId w:val="0"/>
        </w:numPr>
        <w:ind w:left="420" w:leftChars="200"/>
      </w:pPr>
      <w:r>
        <w:t>（三）摘要和关键词</w:t>
      </w:r>
    </w:p>
    <w:p>
      <w:pPr>
        <w:adjustRightInd w:val="0"/>
        <w:spacing w:line="360" w:lineRule="auto"/>
        <w:ind w:firstLine="480" w:firstLineChars="200"/>
        <w:rPr>
          <w:sz w:val="24"/>
        </w:rPr>
      </w:pPr>
      <w:r>
        <w:rPr>
          <w:sz w:val="24"/>
        </w:rPr>
        <w:t>中文摘要是对毕业论文的概括，主要说明论文的研究目的、研究方法、主要内容、研究发现和结论；语言力求精练、准确，</w:t>
      </w:r>
      <w:r>
        <w:rPr>
          <w:rFonts w:hint="eastAsia"/>
          <w:sz w:val="24"/>
        </w:rPr>
        <w:t>摘要</w:t>
      </w:r>
      <w:r>
        <w:rPr>
          <w:sz w:val="24"/>
        </w:rPr>
        <w:t>字数300～500字。关键词是标示论文主要内容的名词性术语，应选用能覆盖毕业论文主要内容的通用词条；关键词一般 3～5个，按词条外延层次从大到小排列。英文摘要</w:t>
      </w:r>
      <w:r>
        <w:rPr>
          <w:rFonts w:hint="eastAsia"/>
          <w:sz w:val="24"/>
        </w:rPr>
        <w:t>和关键词，</w:t>
      </w:r>
      <w:r>
        <w:rPr>
          <w:sz w:val="24"/>
        </w:rPr>
        <w:t>是对中文摘要</w:t>
      </w:r>
      <w:r>
        <w:rPr>
          <w:rFonts w:hint="eastAsia"/>
          <w:sz w:val="24"/>
        </w:rPr>
        <w:t>和关键词</w:t>
      </w:r>
      <w:r>
        <w:rPr>
          <w:sz w:val="24"/>
        </w:rPr>
        <w:t>的翻译。</w:t>
      </w:r>
    </w:p>
    <w:p>
      <w:pPr>
        <w:adjustRightInd w:val="0"/>
        <w:spacing w:line="360" w:lineRule="auto"/>
        <w:ind w:firstLine="480" w:firstLineChars="200"/>
        <w:rPr>
          <w:sz w:val="24"/>
        </w:rPr>
      </w:pPr>
      <w:r>
        <w:rPr>
          <w:rFonts w:hint="eastAsia"/>
          <w:sz w:val="24"/>
        </w:rPr>
        <w:t>外语类</w:t>
      </w:r>
      <w:r>
        <w:rPr>
          <w:sz w:val="24"/>
        </w:rPr>
        <w:t>专业本科生</w:t>
      </w:r>
      <w:r>
        <w:rPr>
          <w:rFonts w:hint="eastAsia"/>
          <w:sz w:val="24"/>
        </w:rPr>
        <w:t>用外文写作的毕业论文</w:t>
      </w:r>
      <w:r>
        <w:rPr>
          <w:sz w:val="24"/>
        </w:rPr>
        <w:t>、国际方向班本科生</w:t>
      </w:r>
      <w:r>
        <w:rPr>
          <w:rFonts w:hint="eastAsia"/>
          <w:sz w:val="24"/>
        </w:rPr>
        <w:t>采用英文写作</w:t>
      </w:r>
      <w:r>
        <w:rPr>
          <w:sz w:val="24"/>
        </w:rPr>
        <w:t>的毕业论文</w:t>
      </w:r>
      <w:r>
        <w:rPr>
          <w:rFonts w:hint="eastAsia"/>
          <w:sz w:val="24"/>
        </w:rPr>
        <w:t>，</w:t>
      </w:r>
      <w:r>
        <w:rPr>
          <w:sz w:val="24"/>
        </w:rPr>
        <w:t>无需撰写中文摘要</w:t>
      </w:r>
      <w:r>
        <w:rPr>
          <w:rFonts w:hint="eastAsia"/>
          <w:sz w:val="24"/>
        </w:rPr>
        <w:t>，</w:t>
      </w:r>
      <w:r>
        <w:rPr>
          <w:sz w:val="24"/>
        </w:rPr>
        <w:t>仅需</w:t>
      </w:r>
      <w:r>
        <w:rPr>
          <w:rFonts w:hint="eastAsia"/>
          <w:sz w:val="24"/>
        </w:rPr>
        <w:t>用</w:t>
      </w:r>
      <w:r>
        <w:rPr>
          <w:sz w:val="24"/>
        </w:rPr>
        <w:t>外文</w:t>
      </w:r>
      <w:r>
        <w:rPr>
          <w:rFonts w:hint="eastAsia"/>
          <w:sz w:val="24"/>
        </w:rPr>
        <w:t>或</w:t>
      </w:r>
      <w:r>
        <w:rPr>
          <w:sz w:val="24"/>
        </w:rPr>
        <w:t>英文撰写摘要。</w:t>
      </w:r>
    </w:p>
    <w:p>
      <w:pPr>
        <w:pStyle w:val="4"/>
        <w:numPr>
          <w:ilvl w:val="2"/>
          <w:numId w:val="0"/>
        </w:numPr>
        <w:ind w:left="420" w:leftChars="200"/>
      </w:pPr>
      <w:r>
        <w:t>（四）目录</w:t>
      </w:r>
    </w:p>
    <w:p>
      <w:pPr>
        <w:adjustRightInd w:val="0"/>
        <w:spacing w:line="360" w:lineRule="auto"/>
        <w:ind w:firstLine="480" w:firstLineChars="200"/>
        <w:rPr>
          <w:sz w:val="24"/>
        </w:rPr>
      </w:pPr>
      <w:r>
        <w:rPr>
          <w:sz w:val="24"/>
        </w:rPr>
        <w:t>学术性</w:t>
      </w:r>
      <w:r>
        <w:rPr>
          <w:rFonts w:hint="eastAsia"/>
          <w:sz w:val="24"/>
        </w:rPr>
        <w:t>毕业</w:t>
      </w:r>
      <w:r>
        <w:rPr>
          <w:sz w:val="24"/>
        </w:rPr>
        <w:t>论文按一、二、三级标题编写，要求层次清晰；其他形式</w:t>
      </w:r>
      <w:r>
        <w:rPr>
          <w:rFonts w:hint="eastAsia"/>
          <w:sz w:val="24"/>
        </w:rPr>
        <w:t>毕业</w:t>
      </w:r>
      <w:r>
        <w:rPr>
          <w:sz w:val="24"/>
        </w:rPr>
        <w:t>论文可按一、二级标题编写。目录是标题应与正文中的标题一致，主要包括正文主要层次标题、参考文献、附录、致谢等，须标注页码。</w:t>
      </w:r>
    </w:p>
    <w:p>
      <w:pPr>
        <w:pStyle w:val="4"/>
        <w:numPr>
          <w:ilvl w:val="2"/>
          <w:numId w:val="0"/>
        </w:numPr>
        <w:ind w:left="420" w:leftChars="200"/>
      </w:pPr>
      <w:r>
        <w:t>（五）正文</w:t>
      </w:r>
    </w:p>
    <w:p>
      <w:pPr>
        <w:adjustRightInd w:val="0"/>
        <w:spacing w:line="360" w:lineRule="auto"/>
        <w:ind w:firstLine="480" w:firstLineChars="200"/>
        <w:rPr>
          <w:sz w:val="24"/>
        </w:rPr>
      </w:pPr>
      <w:r>
        <w:rPr>
          <w:sz w:val="24"/>
        </w:rPr>
        <w:t>文科类各专业毕业论文正文原则上不少于10000字，理工类各专业毕业设计正文不少于8000字，包括背景描述或文献综述、问题分析</w:t>
      </w:r>
      <w:r>
        <w:rPr>
          <w:rFonts w:hint="eastAsia"/>
          <w:sz w:val="24"/>
        </w:rPr>
        <w:t>和</w:t>
      </w:r>
      <w:r>
        <w:rPr>
          <w:sz w:val="24"/>
        </w:rPr>
        <w:t>讨论</w:t>
      </w:r>
      <w:r>
        <w:rPr>
          <w:rFonts w:hint="eastAsia"/>
          <w:sz w:val="24"/>
        </w:rPr>
        <w:t>、主要</w:t>
      </w:r>
      <w:r>
        <w:rPr>
          <w:sz w:val="24"/>
        </w:rPr>
        <w:t>结论等部分。理工科类专业做毕业设计的，同时还要提供实验过程和设计成果，如软件、应用程序、开发的产品等。</w:t>
      </w:r>
    </w:p>
    <w:p>
      <w:pPr>
        <w:pStyle w:val="4"/>
        <w:numPr>
          <w:ilvl w:val="2"/>
          <w:numId w:val="0"/>
        </w:numPr>
        <w:ind w:left="420" w:leftChars="200"/>
      </w:pPr>
      <w:r>
        <w:t>（六）参考文献</w:t>
      </w:r>
    </w:p>
    <w:p>
      <w:pPr>
        <w:adjustRightInd w:val="0"/>
        <w:spacing w:line="360" w:lineRule="auto"/>
        <w:ind w:firstLine="480" w:firstLineChars="200"/>
        <w:rPr>
          <w:sz w:val="24"/>
        </w:rPr>
      </w:pPr>
      <w:r>
        <w:rPr>
          <w:sz w:val="24"/>
        </w:rPr>
        <w:t>参考文献反映研究的工作基础与取材来源</w:t>
      </w:r>
      <w:r>
        <w:rPr>
          <w:rFonts w:hint="eastAsia"/>
          <w:sz w:val="24"/>
        </w:rPr>
        <w:t>，</w:t>
      </w:r>
      <w:r>
        <w:rPr>
          <w:sz w:val="24"/>
        </w:rPr>
        <w:t>必须是学生本人真正阅读过的、对毕业论文写作有重要参考作用的文献资料。研究性论文的参考文献不应少于20篇，其他形式论文参考文献数量不应少于15篇，其中参考书目不超过1/3，参考文献应以学生答辩年度近三年的文献为主；鼓励多参考代表学科</w:t>
      </w:r>
      <w:r>
        <w:rPr>
          <w:rFonts w:hint="eastAsia"/>
          <w:sz w:val="24"/>
        </w:rPr>
        <w:t>和</w:t>
      </w:r>
      <w:r>
        <w:rPr>
          <w:sz w:val="24"/>
        </w:rPr>
        <w:t>专业前沿的文献，适当引用外文文献。引用网上文献时，应注明该文献的准确网页地址，网上参考文献不包括在上述规定的文献数量内。</w:t>
      </w:r>
    </w:p>
    <w:p>
      <w:pPr>
        <w:pStyle w:val="4"/>
        <w:numPr>
          <w:ilvl w:val="2"/>
          <w:numId w:val="0"/>
        </w:numPr>
        <w:ind w:left="420" w:leftChars="200"/>
      </w:pPr>
      <w:r>
        <w:t>（七）附录</w:t>
      </w:r>
    </w:p>
    <w:p>
      <w:pPr>
        <w:adjustRightInd w:val="0"/>
        <w:spacing w:line="360" w:lineRule="auto"/>
        <w:ind w:firstLine="480" w:firstLineChars="200"/>
        <w:rPr>
          <w:sz w:val="24"/>
        </w:rPr>
      </w:pPr>
      <w:r>
        <w:rPr>
          <w:sz w:val="24"/>
        </w:rPr>
        <w:t>对于一些不宜列入正文中，但作为毕业论文不可缺少的组成部分或具有重要参考价值的内容，可列入附录中。例如，某些重要的原始数据、详细数学推导、程序全文及其说明、复杂的图表等一系列需要补充提供的说明材料。</w:t>
      </w:r>
    </w:p>
    <w:p>
      <w:pPr>
        <w:pStyle w:val="4"/>
        <w:numPr>
          <w:ilvl w:val="2"/>
          <w:numId w:val="0"/>
        </w:numPr>
        <w:ind w:left="420" w:leftChars="200"/>
      </w:pPr>
      <w:r>
        <w:t>（八）致谢</w:t>
      </w:r>
    </w:p>
    <w:p>
      <w:pPr>
        <w:adjustRightInd w:val="0"/>
        <w:spacing w:line="360" w:lineRule="auto"/>
        <w:ind w:firstLine="480" w:firstLineChars="200"/>
        <w:rPr>
          <w:sz w:val="24"/>
        </w:rPr>
      </w:pPr>
      <w:r>
        <w:rPr>
          <w:sz w:val="24"/>
        </w:rPr>
        <w:t>谢辞应以简短的文字对课题研究与论文撰写过程中曾直接给予帮助的人员（例如指导教师、答疑教师及其他人员）表示谢意，这不仅是一种礼貌，也是对他人劳动的尊重，是治学者应当遵循的学术规范。内容限一页。</w:t>
      </w:r>
    </w:p>
    <w:p>
      <w:pPr>
        <w:pStyle w:val="3"/>
        <w:numPr>
          <w:ilvl w:val="1"/>
          <w:numId w:val="0"/>
        </w:numPr>
        <w:ind w:left="420" w:leftChars="200"/>
        <w:rPr>
          <w:rFonts w:ascii="Times New Roman" w:hAnsi="Times New Roman" w:cs="Times New Roman"/>
        </w:rPr>
      </w:pPr>
      <w:r>
        <w:rPr>
          <w:rFonts w:ascii="Times New Roman" w:hAnsi="Times New Roman" w:cs="Times New Roman"/>
        </w:rPr>
        <w:t>三、</w:t>
      </w:r>
      <w:r>
        <w:rPr>
          <w:rFonts w:hint="eastAsia" w:ascii="Times New Roman" w:hAnsi="Times New Roman" w:cs="Times New Roman"/>
        </w:rPr>
        <w:t>基本格式</w:t>
      </w:r>
    </w:p>
    <w:p>
      <w:pPr>
        <w:pStyle w:val="4"/>
        <w:numPr>
          <w:ilvl w:val="2"/>
          <w:numId w:val="0"/>
        </w:numPr>
        <w:ind w:left="420" w:leftChars="200"/>
      </w:pPr>
      <w:r>
        <w:t>（一）页面设置</w:t>
      </w:r>
    </w:p>
    <w:p>
      <w:pPr>
        <w:adjustRightInd w:val="0"/>
        <w:spacing w:line="360" w:lineRule="auto"/>
        <w:ind w:firstLine="480" w:firstLineChars="200"/>
        <w:rPr>
          <w:sz w:val="24"/>
        </w:rPr>
      </w:pPr>
      <w:r>
        <w:rPr>
          <w:sz w:val="24"/>
        </w:rPr>
        <w:t>毕业论文一律用A4型纸（21cm×29.7cm），每页45行。页面分图文区与白边区两部分，所有的文字、图形、其他符号只能出现在图文区内。白边区的尺寸（页边距）为：上下边距为2.5cm，左边距为3cm，右边距为2cm，页眉1.5cm，页脚1.5cm。</w:t>
      </w:r>
    </w:p>
    <w:p>
      <w:pPr>
        <w:pStyle w:val="4"/>
        <w:ind w:left="420" w:leftChars="200"/>
      </w:pPr>
      <w:r>
        <w:t>（二）总体要求</w:t>
      </w:r>
    </w:p>
    <w:p>
      <w:pPr>
        <w:pStyle w:val="10"/>
        <w:numPr>
          <w:ilvl w:val="0"/>
          <w:numId w:val="7"/>
        </w:numPr>
        <w:tabs>
          <w:tab w:val="left" w:pos="420"/>
        </w:tabs>
        <w:snapToGrid w:val="0"/>
        <w:spacing w:before="0" w:beforeAutospacing="0" w:after="0" w:afterAutospacing="0" w:line="360" w:lineRule="auto"/>
        <w:ind w:left="0" w:firstLine="480" w:firstLineChars="200"/>
        <w:rPr>
          <w:rFonts w:ascii="Times New Roman" w:hAnsi="Times New Roman" w:cs="Times New Roman"/>
        </w:rPr>
      </w:pPr>
      <w:r>
        <w:rPr>
          <w:rFonts w:hint="eastAsia" w:ascii="Times New Roman" w:hAnsi="Times New Roman" w:cs="Times New Roman"/>
        </w:rPr>
        <w:t>论文的</w:t>
      </w:r>
      <w:r>
        <w:rPr>
          <w:rFonts w:ascii="Times New Roman" w:hAnsi="Times New Roman" w:cs="Times New Roman"/>
        </w:rPr>
        <w:t>中英文摘要</w:t>
      </w:r>
      <w:r>
        <w:rPr>
          <w:rFonts w:hint="eastAsia" w:ascii="Times New Roman" w:hAnsi="Times New Roman" w:cs="Times New Roman"/>
        </w:rPr>
        <w:t>和关键词</w:t>
      </w:r>
      <w:r>
        <w:rPr>
          <w:rFonts w:ascii="Times New Roman" w:hAnsi="Times New Roman" w:cs="Times New Roman"/>
        </w:rPr>
        <w:t>、目录、正文、参考文献、附录（如有）、致谢等部分，均应设置页眉。页眉居中键入“上海立信会计金融学院普通本科</w:t>
      </w:r>
      <w:r>
        <w:rPr>
          <w:rFonts w:hint="eastAsia" w:ascii="Times New Roman" w:hAnsi="Times New Roman" w:cs="Times New Roman"/>
        </w:rPr>
        <w:t>生</w:t>
      </w:r>
      <w:r>
        <w:rPr>
          <w:rFonts w:ascii="Times New Roman" w:hAnsi="Times New Roman" w:cs="Times New Roman"/>
        </w:rPr>
        <w:t>毕业论文（设计）”。</w:t>
      </w:r>
    </w:p>
    <w:p>
      <w:pPr>
        <w:pStyle w:val="10"/>
        <w:numPr>
          <w:ilvl w:val="0"/>
          <w:numId w:val="7"/>
        </w:numPr>
        <w:tabs>
          <w:tab w:val="left" w:pos="420"/>
        </w:tabs>
        <w:snapToGrid w:val="0"/>
        <w:spacing w:before="0" w:beforeAutospacing="0" w:after="0" w:afterAutospacing="0" w:line="360" w:lineRule="auto"/>
        <w:ind w:left="0" w:firstLine="480" w:firstLineChars="200"/>
        <w:rPr>
          <w:rFonts w:ascii="Times New Roman" w:hAnsi="Times New Roman" w:cs="Times New Roman"/>
        </w:rPr>
      </w:pPr>
      <w:r>
        <w:rPr>
          <w:rFonts w:hint="eastAsia" w:ascii="Times New Roman" w:hAnsi="Times New Roman" w:cs="Times New Roman"/>
        </w:rPr>
        <w:t>论文的</w:t>
      </w:r>
      <w:r>
        <w:rPr>
          <w:rFonts w:ascii="Times New Roman" w:hAnsi="Times New Roman" w:cs="Times New Roman"/>
        </w:rPr>
        <w:t>中英文摘要</w:t>
      </w:r>
      <w:r>
        <w:rPr>
          <w:rFonts w:hint="eastAsia" w:ascii="Times New Roman" w:hAnsi="Times New Roman" w:cs="Times New Roman"/>
        </w:rPr>
        <w:t>和关键词、目录两个</w:t>
      </w:r>
      <w:r>
        <w:rPr>
          <w:rFonts w:ascii="Times New Roman" w:hAnsi="Times New Roman" w:cs="Times New Roman"/>
        </w:rPr>
        <w:t>部分</w:t>
      </w:r>
      <w:r>
        <w:rPr>
          <w:rFonts w:hint="eastAsia" w:ascii="Times New Roman" w:hAnsi="Times New Roman" w:cs="Times New Roman"/>
        </w:rPr>
        <w:t>，</w:t>
      </w:r>
      <w:r>
        <w:rPr>
          <w:rFonts w:ascii="Times New Roman" w:hAnsi="Times New Roman" w:cs="Times New Roman"/>
        </w:rPr>
        <w:t>应在页脚居中设置页码</w:t>
      </w:r>
      <w:r>
        <w:rPr>
          <w:rFonts w:hint="eastAsia" w:ascii="Times New Roman" w:hAnsi="Times New Roman" w:cs="Times New Roman"/>
        </w:rPr>
        <w:t>，且</w:t>
      </w:r>
      <w:r>
        <w:rPr>
          <w:rFonts w:ascii="Times New Roman" w:hAnsi="Times New Roman" w:cs="Times New Roman"/>
        </w:rPr>
        <w:t>“中英文摘要</w:t>
      </w:r>
      <w:r>
        <w:rPr>
          <w:rFonts w:hint="eastAsia" w:ascii="Times New Roman" w:hAnsi="Times New Roman" w:cs="Times New Roman"/>
        </w:rPr>
        <w:t>和</w:t>
      </w:r>
      <w:r>
        <w:rPr>
          <w:rFonts w:ascii="Times New Roman" w:hAnsi="Times New Roman" w:cs="Times New Roman"/>
        </w:rPr>
        <w:t>关键词”</w:t>
      </w:r>
      <w:r>
        <w:rPr>
          <w:rFonts w:hint="eastAsia" w:ascii="Times New Roman" w:hAnsi="Times New Roman" w:cs="Times New Roman"/>
        </w:rPr>
        <w:t>的起始页码从罗马数字“I”开始</w:t>
      </w:r>
      <w:r>
        <w:rPr>
          <w:rFonts w:ascii="Times New Roman" w:hAnsi="Times New Roman" w:cs="Times New Roman"/>
        </w:rPr>
        <w:t>连续编排</w:t>
      </w:r>
      <w:r>
        <w:rPr>
          <w:rFonts w:hint="eastAsia" w:ascii="Times New Roman" w:hAnsi="Times New Roman" w:cs="Times New Roman"/>
        </w:rPr>
        <w:t>。</w:t>
      </w:r>
      <w:r>
        <w:rPr>
          <w:rFonts w:ascii="Times New Roman" w:hAnsi="Times New Roman" w:cs="Times New Roman"/>
        </w:rPr>
        <w:t>正文、参考文献、附录（如有）、致谢部分，</w:t>
      </w:r>
      <w:r>
        <w:rPr>
          <w:rFonts w:hint="eastAsia" w:ascii="Times New Roman" w:hAnsi="Times New Roman" w:cs="Times New Roman"/>
        </w:rPr>
        <w:t>也</w:t>
      </w:r>
      <w:r>
        <w:rPr>
          <w:rFonts w:ascii="Times New Roman" w:hAnsi="Times New Roman" w:cs="Times New Roman"/>
        </w:rPr>
        <w:t>应在页脚居中设置页码</w:t>
      </w:r>
      <w:r>
        <w:rPr>
          <w:rFonts w:hint="eastAsia" w:ascii="Times New Roman" w:hAnsi="Times New Roman" w:cs="Times New Roman"/>
        </w:rPr>
        <w:t>，且</w:t>
      </w:r>
      <w:r>
        <w:rPr>
          <w:rFonts w:ascii="Times New Roman" w:hAnsi="Times New Roman" w:cs="Times New Roman"/>
        </w:rPr>
        <w:t>正文的起始页码从</w:t>
      </w:r>
      <w:r>
        <w:rPr>
          <w:rFonts w:hint="eastAsia" w:ascii="Times New Roman" w:hAnsi="Times New Roman" w:cs="Times New Roman"/>
        </w:rPr>
        <w:t>阿拉伯数字</w:t>
      </w:r>
      <w:r>
        <w:rPr>
          <w:rFonts w:ascii="Times New Roman" w:hAnsi="Times New Roman" w:cs="Times New Roman"/>
        </w:rPr>
        <w:t>“1”开始，连续编排。</w:t>
      </w:r>
    </w:p>
    <w:p>
      <w:pPr>
        <w:pStyle w:val="10"/>
        <w:numPr>
          <w:ilvl w:val="0"/>
          <w:numId w:val="7"/>
        </w:numPr>
        <w:tabs>
          <w:tab w:val="left" w:pos="420"/>
        </w:tabs>
        <w:snapToGrid w:val="0"/>
        <w:spacing w:before="0" w:beforeAutospacing="0" w:after="0" w:afterAutospacing="0" w:line="360" w:lineRule="auto"/>
        <w:ind w:left="0" w:firstLine="480" w:firstLineChars="200"/>
        <w:rPr>
          <w:rFonts w:ascii="Times New Roman" w:hAnsi="Times New Roman" w:cs="Times New Roman"/>
        </w:rPr>
      </w:pPr>
      <w:r>
        <w:rPr>
          <w:rFonts w:ascii="Times New Roman" w:hAnsi="Times New Roman" w:cs="Times New Roman"/>
        </w:rPr>
        <w:t>文字图形一律从左至右横写横排。文字一律通栏编辑。使用规范的简化汉字。除非必要，不使用繁体字。忌用异体字、复合字及其他不规范的汉字。</w:t>
      </w:r>
    </w:p>
    <w:p>
      <w:pPr>
        <w:pStyle w:val="4"/>
        <w:ind w:left="420" w:leftChars="200"/>
      </w:pPr>
      <w:r>
        <w:t>（三）不同结构的基本格式</w:t>
      </w:r>
    </w:p>
    <w:p>
      <w:pPr>
        <w:adjustRightInd w:val="0"/>
        <w:spacing w:line="360" w:lineRule="auto"/>
        <w:ind w:firstLine="480" w:firstLineChars="200"/>
        <w:rPr>
          <w:sz w:val="24"/>
        </w:rPr>
      </w:pPr>
      <w:r>
        <w:rPr>
          <w:sz w:val="24"/>
        </w:rPr>
        <w:t>毕业论文的</w:t>
      </w:r>
      <w:r>
        <w:rPr>
          <w:rFonts w:hint="eastAsia"/>
          <w:sz w:val="24"/>
        </w:rPr>
        <w:t>不同</w:t>
      </w:r>
      <w:r>
        <w:rPr>
          <w:sz w:val="24"/>
        </w:rPr>
        <w:t>结构，</w:t>
      </w:r>
      <w:r>
        <w:rPr>
          <w:rFonts w:hint="eastAsia"/>
          <w:sz w:val="24"/>
        </w:rPr>
        <w:t>应遵守以下基本格式要求。</w:t>
      </w:r>
    </w:p>
    <w:p>
      <w:pPr>
        <w:pStyle w:val="4"/>
        <w:numPr>
          <w:ilvl w:val="2"/>
          <w:numId w:val="0"/>
        </w:numPr>
        <w:jc w:val="center"/>
        <w:rPr>
          <w:b w:val="0"/>
          <w:bCs w:val="0"/>
          <w:sz w:val="22"/>
          <w:szCs w:val="24"/>
        </w:rPr>
      </w:pPr>
      <w:r>
        <w:rPr>
          <w:b w:val="0"/>
          <w:bCs w:val="0"/>
          <w:sz w:val="22"/>
          <w:szCs w:val="24"/>
        </w:rPr>
        <w:t>表1：毕业论文不同结构的字体、字号和行间距</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360"/>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93" w:type="dxa"/>
          </w:tcPr>
          <w:p>
            <w:pPr>
              <w:adjustRightInd w:val="0"/>
              <w:spacing w:line="360" w:lineRule="auto"/>
              <w:jc w:val="center"/>
              <w:rPr>
                <w:szCs w:val="21"/>
              </w:rPr>
            </w:pPr>
            <w:r>
              <w:rPr>
                <w:szCs w:val="21"/>
              </w:rPr>
              <w:t>结  构</w:t>
            </w:r>
          </w:p>
        </w:tc>
        <w:tc>
          <w:tcPr>
            <w:tcW w:w="1360" w:type="dxa"/>
          </w:tcPr>
          <w:p>
            <w:pPr>
              <w:adjustRightInd w:val="0"/>
              <w:spacing w:line="360" w:lineRule="auto"/>
              <w:jc w:val="center"/>
              <w:rPr>
                <w:szCs w:val="21"/>
              </w:rPr>
            </w:pPr>
            <w:r>
              <w:rPr>
                <w:szCs w:val="21"/>
              </w:rPr>
              <w:t>内  容</w:t>
            </w:r>
          </w:p>
        </w:tc>
        <w:tc>
          <w:tcPr>
            <w:tcW w:w="6735" w:type="dxa"/>
          </w:tcPr>
          <w:p>
            <w:pPr>
              <w:adjustRightInd w:val="0"/>
              <w:spacing w:line="360" w:lineRule="auto"/>
              <w:jc w:val="center"/>
              <w:rPr>
                <w:szCs w:val="21"/>
              </w:rPr>
            </w:pPr>
            <w:r>
              <w:rPr>
                <w:szCs w:val="21"/>
              </w:rPr>
              <w:t>格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tcPr>
          <w:p>
            <w:pPr>
              <w:adjustRightInd w:val="0"/>
              <w:spacing w:line="360" w:lineRule="auto"/>
              <w:jc w:val="center"/>
              <w:rPr>
                <w:szCs w:val="21"/>
              </w:rPr>
            </w:pPr>
            <w:r>
              <w:rPr>
                <w:szCs w:val="21"/>
              </w:rPr>
              <w:t>封</w:t>
            </w:r>
            <w:r>
              <w:rPr>
                <w:rFonts w:hint="eastAsia"/>
                <w:szCs w:val="21"/>
              </w:rPr>
              <w:t xml:space="preserve">  </w:t>
            </w:r>
            <w:r>
              <w:rPr>
                <w:szCs w:val="21"/>
              </w:rPr>
              <w:t>面</w:t>
            </w:r>
          </w:p>
        </w:tc>
        <w:tc>
          <w:tcPr>
            <w:tcW w:w="1360" w:type="dxa"/>
          </w:tcPr>
          <w:p>
            <w:pPr>
              <w:adjustRightInd w:val="0"/>
              <w:spacing w:line="360" w:lineRule="auto"/>
              <w:jc w:val="center"/>
              <w:rPr>
                <w:szCs w:val="21"/>
              </w:rPr>
            </w:pPr>
            <w:r>
              <w:rPr>
                <w:szCs w:val="21"/>
              </w:rPr>
              <w:t>中文题目</w:t>
            </w:r>
          </w:p>
        </w:tc>
        <w:tc>
          <w:tcPr>
            <w:tcW w:w="6735" w:type="dxa"/>
            <w:vAlign w:val="center"/>
          </w:tcPr>
          <w:p>
            <w:pPr>
              <w:numPr>
                <w:ilvl w:val="0"/>
                <w:numId w:val="8"/>
              </w:numPr>
              <w:tabs>
                <w:tab w:val="left" w:pos="210"/>
              </w:tabs>
              <w:adjustRightInd w:val="0"/>
              <w:snapToGrid w:val="0"/>
              <w:ind w:left="3" w:hanging="3"/>
              <w:rPr>
                <w:szCs w:val="21"/>
              </w:rPr>
            </w:pPr>
            <w:r>
              <w:rPr>
                <w:szCs w:val="21"/>
              </w:rPr>
              <w:t>楷体加粗，二号，居中</w:t>
            </w:r>
            <w:r>
              <w:rPr>
                <w:rFonts w:hint="eastAsia"/>
                <w:szCs w:val="21"/>
              </w:rPr>
              <w:t>；</w:t>
            </w:r>
            <w:r>
              <w:rPr>
                <w:szCs w:val="21"/>
              </w:rPr>
              <w:t>1.5倍行距</w:t>
            </w:r>
            <w:r>
              <w:rPr>
                <w:rFonts w:hint="eastAsia"/>
                <w:szCs w:val="21"/>
              </w:rPr>
              <w:t>，段前0，段后0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pPr>
              <w:adjustRightInd w:val="0"/>
              <w:spacing w:line="360" w:lineRule="auto"/>
              <w:jc w:val="center"/>
              <w:rPr>
                <w:szCs w:val="21"/>
              </w:rPr>
            </w:pPr>
          </w:p>
        </w:tc>
        <w:tc>
          <w:tcPr>
            <w:tcW w:w="1360" w:type="dxa"/>
          </w:tcPr>
          <w:p>
            <w:pPr>
              <w:adjustRightInd w:val="0"/>
              <w:spacing w:line="360" w:lineRule="auto"/>
              <w:jc w:val="center"/>
              <w:rPr>
                <w:szCs w:val="21"/>
              </w:rPr>
            </w:pPr>
            <w:r>
              <w:rPr>
                <w:szCs w:val="21"/>
              </w:rPr>
              <w:t>英文题目</w:t>
            </w:r>
          </w:p>
        </w:tc>
        <w:tc>
          <w:tcPr>
            <w:tcW w:w="6735" w:type="dxa"/>
            <w:vAlign w:val="center"/>
          </w:tcPr>
          <w:p>
            <w:pPr>
              <w:numPr>
                <w:ilvl w:val="0"/>
                <w:numId w:val="8"/>
              </w:numPr>
              <w:tabs>
                <w:tab w:val="left" w:pos="210"/>
              </w:tabs>
              <w:adjustRightInd w:val="0"/>
              <w:snapToGrid w:val="0"/>
              <w:ind w:left="3" w:hanging="3"/>
              <w:rPr>
                <w:szCs w:val="21"/>
              </w:rPr>
            </w:pPr>
            <w:r>
              <w:rPr>
                <w:szCs w:val="21"/>
              </w:rPr>
              <w:t>Times New Roman体加粗，二号，居中</w:t>
            </w:r>
            <w:r>
              <w:rPr>
                <w:rFonts w:hint="eastAsia"/>
                <w:szCs w:val="21"/>
              </w:rPr>
              <w:t>；</w:t>
            </w:r>
            <w:r>
              <w:rPr>
                <w:szCs w:val="21"/>
              </w:rPr>
              <w:t>1.5倍行距</w:t>
            </w:r>
            <w:r>
              <w:rPr>
                <w:rFonts w:hint="eastAsia"/>
                <w:szCs w:val="21"/>
              </w:rPr>
              <w:t>，段前0，段后0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93" w:type="dxa"/>
            <w:vMerge w:val="continue"/>
          </w:tcPr>
          <w:p>
            <w:pPr>
              <w:adjustRightInd w:val="0"/>
              <w:spacing w:line="360" w:lineRule="auto"/>
              <w:jc w:val="center"/>
              <w:rPr>
                <w:szCs w:val="21"/>
              </w:rPr>
            </w:pPr>
          </w:p>
        </w:tc>
        <w:tc>
          <w:tcPr>
            <w:tcW w:w="1360" w:type="dxa"/>
            <w:vAlign w:val="center"/>
          </w:tcPr>
          <w:p>
            <w:pPr>
              <w:adjustRightInd w:val="0"/>
              <w:jc w:val="center"/>
              <w:rPr>
                <w:szCs w:val="21"/>
              </w:rPr>
            </w:pPr>
            <w:r>
              <w:rPr>
                <w:szCs w:val="21"/>
              </w:rPr>
              <w:t>姓名、</w:t>
            </w:r>
            <w:r>
              <w:rPr>
                <w:rFonts w:hint="eastAsia"/>
                <w:szCs w:val="21"/>
              </w:rPr>
              <w:t>学院、</w:t>
            </w:r>
            <w:r>
              <w:rPr>
                <w:szCs w:val="21"/>
              </w:rPr>
              <w:t>专业</w:t>
            </w:r>
            <w:r>
              <w:rPr>
                <w:rFonts w:hint="eastAsia"/>
                <w:szCs w:val="21"/>
              </w:rPr>
              <w:t>、指导教师</w:t>
            </w:r>
          </w:p>
        </w:tc>
        <w:tc>
          <w:tcPr>
            <w:tcW w:w="6735" w:type="dxa"/>
            <w:vAlign w:val="center"/>
          </w:tcPr>
          <w:p>
            <w:pPr>
              <w:numPr>
                <w:ilvl w:val="0"/>
                <w:numId w:val="8"/>
              </w:numPr>
              <w:tabs>
                <w:tab w:val="left" w:pos="210"/>
              </w:tabs>
              <w:adjustRightInd w:val="0"/>
              <w:snapToGrid w:val="0"/>
              <w:ind w:left="3" w:hanging="3"/>
              <w:rPr>
                <w:szCs w:val="21"/>
              </w:rPr>
            </w:pPr>
            <w:r>
              <w:rPr>
                <w:szCs w:val="21"/>
              </w:rPr>
              <w:t>宋体加粗，三号，居中</w:t>
            </w:r>
            <w:r>
              <w:rPr>
                <w:rFonts w:hint="eastAsia"/>
                <w:szCs w:val="21"/>
              </w:rPr>
              <w:t>；</w:t>
            </w:r>
            <w:r>
              <w:rPr>
                <w:szCs w:val="21"/>
              </w:rPr>
              <w:t>1.5倍行距</w:t>
            </w:r>
            <w:r>
              <w:rPr>
                <w:rFonts w:hint="eastAsia"/>
                <w:szCs w:val="21"/>
              </w:rPr>
              <w:t>，段前0，段后0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pPr>
              <w:adjustRightInd w:val="0"/>
              <w:spacing w:line="360" w:lineRule="auto"/>
              <w:jc w:val="center"/>
              <w:rPr>
                <w:szCs w:val="21"/>
              </w:rPr>
            </w:pPr>
          </w:p>
        </w:tc>
        <w:tc>
          <w:tcPr>
            <w:tcW w:w="1360" w:type="dxa"/>
          </w:tcPr>
          <w:p>
            <w:pPr>
              <w:adjustRightInd w:val="0"/>
              <w:jc w:val="center"/>
              <w:rPr>
                <w:szCs w:val="21"/>
              </w:rPr>
            </w:pPr>
            <w:r>
              <w:rPr>
                <w:szCs w:val="21"/>
              </w:rPr>
              <w:t>学号、班级</w:t>
            </w:r>
            <w:r>
              <w:rPr>
                <w:rFonts w:hint="eastAsia"/>
                <w:szCs w:val="21"/>
              </w:rPr>
              <w:t>、成绩</w:t>
            </w:r>
          </w:p>
        </w:tc>
        <w:tc>
          <w:tcPr>
            <w:tcW w:w="6735" w:type="dxa"/>
            <w:vAlign w:val="center"/>
          </w:tcPr>
          <w:p>
            <w:pPr>
              <w:numPr>
                <w:ilvl w:val="0"/>
                <w:numId w:val="8"/>
              </w:numPr>
              <w:tabs>
                <w:tab w:val="left" w:pos="210"/>
              </w:tabs>
              <w:adjustRightInd w:val="0"/>
              <w:snapToGrid w:val="0"/>
              <w:ind w:left="3" w:hanging="3"/>
              <w:rPr>
                <w:szCs w:val="21"/>
              </w:rPr>
            </w:pPr>
            <w:r>
              <w:rPr>
                <w:szCs w:val="21"/>
              </w:rPr>
              <w:t>Times New Roman体加粗，三号，居中</w:t>
            </w:r>
            <w:r>
              <w:rPr>
                <w:rFonts w:hint="eastAsia"/>
                <w:szCs w:val="21"/>
              </w:rPr>
              <w:t>；</w:t>
            </w:r>
            <w:r>
              <w:rPr>
                <w:szCs w:val="21"/>
              </w:rPr>
              <w:t>1.5倍行距</w:t>
            </w:r>
            <w:r>
              <w:rPr>
                <w:rFonts w:hint="eastAsia"/>
                <w:szCs w:val="21"/>
              </w:rPr>
              <w:t>，段前0，段后0。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tcPr>
          <w:p>
            <w:pPr>
              <w:adjustRightInd w:val="0"/>
              <w:snapToGrid w:val="0"/>
              <w:spacing w:before="156" w:beforeLines="50"/>
              <w:jc w:val="center"/>
              <w:rPr>
                <w:szCs w:val="21"/>
              </w:rPr>
            </w:pPr>
            <w:r>
              <w:rPr>
                <w:szCs w:val="21"/>
              </w:rPr>
              <w:t>摘要</w:t>
            </w:r>
            <w:r>
              <w:rPr>
                <w:rFonts w:hint="eastAsia"/>
                <w:szCs w:val="21"/>
              </w:rPr>
              <w:t>和</w:t>
            </w:r>
          </w:p>
          <w:p>
            <w:pPr>
              <w:adjustRightInd w:val="0"/>
              <w:snapToGrid w:val="0"/>
              <w:jc w:val="center"/>
              <w:rPr>
                <w:szCs w:val="21"/>
              </w:rPr>
            </w:pPr>
            <w:r>
              <w:rPr>
                <w:rFonts w:hint="eastAsia"/>
                <w:szCs w:val="21"/>
              </w:rPr>
              <w:t>关键词</w:t>
            </w:r>
          </w:p>
        </w:tc>
        <w:tc>
          <w:tcPr>
            <w:tcW w:w="1360" w:type="dxa"/>
          </w:tcPr>
          <w:p>
            <w:pPr>
              <w:adjustRightInd w:val="0"/>
              <w:spacing w:line="360" w:lineRule="auto"/>
              <w:jc w:val="center"/>
              <w:rPr>
                <w:szCs w:val="21"/>
              </w:rPr>
            </w:pPr>
            <w:r>
              <w:rPr>
                <w:szCs w:val="21"/>
              </w:rPr>
              <w:t>摘要标题</w:t>
            </w:r>
          </w:p>
        </w:tc>
        <w:tc>
          <w:tcPr>
            <w:tcW w:w="6735" w:type="dxa"/>
            <w:vAlign w:val="center"/>
          </w:tcPr>
          <w:p>
            <w:pPr>
              <w:numPr>
                <w:ilvl w:val="0"/>
                <w:numId w:val="8"/>
              </w:numPr>
              <w:tabs>
                <w:tab w:val="left" w:pos="210"/>
              </w:tabs>
              <w:adjustRightInd w:val="0"/>
              <w:snapToGrid w:val="0"/>
              <w:ind w:left="3" w:hanging="3"/>
              <w:rPr>
                <w:szCs w:val="21"/>
              </w:rPr>
            </w:pPr>
            <w:r>
              <w:rPr>
                <w:szCs w:val="21"/>
              </w:rPr>
              <w:t>黑体，小三号，居中；1.5倍行距，段前1倍行距，段后1倍行距。</w:t>
            </w:r>
          </w:p>
          <w:p>
            <w:pPr>
              <w:numPr>
                <w:ilvl w:val="0"/>
                <w:numId w:val="8"/>
              </w:numPr>
              <w:tabs>
                <w:tab w:val="left" w:pos="210"/>
              </w:tabs>
              <w:adjustRightInd w:val="0"/>
              <w:snapToGrid w:val="0"/>
              <w:ind w:left="3" w:hanging="3"/>
              <w:rPr>
                <w:szCs w:val="21"/>
              </w:rPr>
            </w:pPr>
            <w:r>
              <w:rPr>
                <w:szCs w:val="21"/>
              </w:rPr>
              <w:t>“摘”与“要”之间空两个字符。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pPr>
              <w:adjustRightInd w:val="0"/>
              <w:spacing w:line="360" w:lineRule="auto"/>
              <w:jc w:val="center"/>
              <w:rPr>
                <w:szCs w:val="21"/>
              </w:rPr>
            </w:pPr>
          </w:p>
        </w:tc>
        <w:tc>
          <w:tcPr>
            <w:tcW w:w="1360" w:type="dxa"/>
          </w:tcPr>
          <w:p>
            <w:pPr>
              <w:adjustRightInd w:val="0"/>
              <w:spacing w:line="360" w:lineRule="auto"/>
              <w:jc w:val="center"/>
              <w:rPr>
                <w:szCs w:val="21"/>
              </w:rPr>
            </w:pPr>
            <w:r>
              <w:rPr>
                <w:szCs w:val="21"/>
              </w:rPr>
              <w:t>摘要内容</w:t>
            </w:r>
          </w:p>
        </w:tc>
        <w:tc>
          <w:tcPr>
            <w:tcW w:w="6735" w:type="dxa"/>
            <w:vAlign w:val="center"/>
          </w:tcPr>
          <w:p>
            <w:pPr>
              <w:numPr>
                <w:ilvl w:val="0"/>
                <w:numId w:val="8"/>
              </w:numPr>
              <w:tabs>
                <w:tab w:val="left" w:pos="210"/>
              </w:tabs>
              <w:adjustRightInd w:val="0"/>
              <w:snapToGrid w:val="0"/>
              <w:ind w:left="3" w:hanging="3"/>
              <w:rPr>
                <w:szCs w:val="21"/>
              </w:rPr>
            </w:pPr>
            <w:r>
              <w:rPr>
                <w:szCs w:val="21"/>
              </w:rPr>
              <w:t>同正文文字格式。</w:t>
            </w:r>
          </w:p>
          <w:p>
            <w:pPr>
              <w:numPr>
                <w:ilvl w:val="0"/>
                <w:numId w:val="8"/>
              </w:numPr>
              <w:tabs>
                <w:tab w:val="left" w:pos="210"/>
              </w:tabs>
              <w:adjustRightInd w:val="0"/>
              <w:snapToGrid w:val="0"/>
              <w:ind w:left="3" w:hanging="3"/>
              <w:rPr>
                <w:szCs w:val="21"/>
              </w:rPr>
            </w:pPr>
            <w:r>
              <w:rPr>
                <w:szCs w:val="21"/>
              </w:rPr>
              <w:t>“关键词：”加粗。</w:t>
            </w:r>
          </w:p>
          <w:p>
            <w:pPr>
              <w:numPr>
                <w:ilvl w:val="0"/>
                <w:numId w:val="8"/>
              </w:numPr>
              <w:tabs>
                <w:tab w:val="left" w:pos="210"/>
              </w:tabs>
              <w:adjustRightInd w:val="0"/>
              <w:snapToGrid w:val="0"/>
              <w:ind w:left="3" w:hanging="3"/>
              <w:rPr>
                <w:szCs w:val="21"/>
              </w:rPr>
            </w:pPr>
            <w:r>
              <w:rPr>
                <w:szCs w:val="21"/>
              </w:rPr>
              <w:t>每个关键词用“；”分隔。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pPr>
              <w:adjustRightInd w:val="0"/>
              <w:spacing w:line="360" w:lineRule="auto"/>
              <w:jc w:val="center"/>
              <w:rPr>
                <w:szCs w:val="21"/>
              </w:rPr>
            </w:pPr>
          </w:p>
        </w:tc>
        <w:tc>
          <w:tcPr>
            <w:tcW w:w="1360" w:type="dxa"/>
          </w:tcPr>
          <w:p>
            <w:pPr>
              <w:adjustRightInd w:val="0"/>
              <w:spacing w:line="360" w:lineRule="auto"/>
              <w:jc w:val="center"/>
              <w:rPr>
                <w:szCs w:val="21"/>
              </w:rPr>
            </w:pPr>
            <w:r>
              <w:rPr>
                <w:szCs w:val="21"/>
              </w:rPr>
              <w:t>Abstract</w:t>
            </w:r>
          </w:p>
        </w:tc>
        <w:tc>
          <w:tcPr>
            <w:tcW w:w="6735" w:type="dxa"/>
            <w:vAlign w:val="center"/>
          </w:tcPr>
          <w:p>
            <w:pPr>
              <w:numPr>
                <w:ilvl w:val="0"/>
                <w:numId w:val="8"/>
              </w:numPr>
              <w:tabs>
                <w:tab w:val="left" w:pos="210"/>
              </w:tabs>
              <w:adjustRightInd w:val="0"/>
              <w:snapToGrid w:val="0"/>
              <w:ind w:left="3" w:hanging="3"/>
              <w:rPr>
                <w:szCs w:val="21"/>
              </w:rPr>
            </w:pPr>
            <w:r>
              <w:rPr>
                <w:szCs w:val="21"/>
              </w:rPr>
              <w:t>Times New Roman体，小三号，居中；1.5倍行距，段前1倍行距，段后1倍行距。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pPr>
              <w:adjustRightInd w:val="0"/>
              <w:spacing w:line="360" w:lineRule="auto"/>
              <w:jc w:val="center"/>
              <w:rPr>
                <w:szCs w:val="21"/>
              </w:rPr>
            </w:pPr>
          </w:p>
        </w:tc>
        <w:tc>
          <w:tcPr>
            <w:tcW w:w="1360" w:type="dxa"/>
          </w:tcPr>
          <w:p>
            <w:pPr>
              <w:adjustRightInd w:val="0"/>
              <w:jc w:val="center"/>
              <w:rPr>
                <w:szCs w:val="21"/>
              </w:rPr>
            </w:pPr>
            <w:r>
              <w:rPr>
                <w:szCs w:val="21"/>
              </w:rPr>
              <w:t>英文摘要</w:t>
            </w:r>
          </w:p>
          <w:p>
            <w:pPr>
              <w:adjustRightInd w:val="0"/>
              <w:jc w:val="center"/>
              <w:rPr>
                <w:szCs w:val="21"/>
              </w:rPr>
            </w:pPr>
            <w:r>
              <w:rPr>
                <w:szCs w:val="21"/>
              </w:rPr>
              <w:t>内容</w:t>
            </w:r>
          </w:p>
        </w:tc>
        <w:tc>
          <w:tcPr>
            <w:tcW w:w="6735" w:type="dxa"/>
            <w:vAlign w:val="center"/>
          </w:tcPr>
          <w:p>
            <w:pPr>
              <w:numPr>
                <w:ilvl w:val="0"/>
                <w:numId w:val="8"/>
              </w:numPr>
              <w:tabs>
                <w:tab w:val="left" w:pos="210"/>
              </w:tabs>
              <w:adjustRightInd w:val="0"/>
              <w:snapToGrid w:val="0"/>
              <w:ind w:left="3" w:hanging="3"/>
              <w:rPr>
                <w:szCs w:val="21"/>
              </w:rPr>
            </w:pPr>
            <w:r>
              <w:rPr>
                <w:szCs w:val="21"/>
              </w:rPr>
              <w:t>Times New Roman体，小四号，两端对齐</w:t>
            </w:r>
            <w:r>
              <w:rPr>
                <w:rFonts w:hint="eastAsia"/>
                <w:szCs w:val="21"/>
              </w:rPr>
              <w:t>；</w:t>
            </w:r>
            <w:r>
              <w:rPr>
                <w:szCs w:val="21"/>
              </w:rPr>
              <w:t>1.5倍行距</w:t>
            </w:r>
            <w:r>
              <w:rPr>
                <w:rFonts w:hint="eastAsia"/>
                <w:szCs w:val="21"/>
              </w:rPr>
              <w:t>，段前0，段后0</w:t>
            </w:r>
            <w:r>
              <w:rPr>
                <w:szCs w:val="21"/>
              </w:rPr>
              <w:t>。</w:t>
            </w:r>
          </w:p>
          <w:p>
            <w:pPr>
              <w:numPr>
                <w:ilvl w:val="0"/>
                <w:numId w:val="8"/>
              </w:numPr>
              <w:tabs>
                <w:tab w:val="left" w:pos="210"/>
              </w:tabs>
              <w:adjustRightInd w:val="0"/>
              <w:snapToGrid w:val="0"/>
              <w:ind w:left="3" w:hanging="3"/>
              <w:rPr>
                <w:szCs w:val="21"/>
              </w:rPr>
            </w:pPr>
            <w:r>
              <w:rPr>
                <w:szCs w:val="21"/>
              </w:rPr>
              <w:t>“Key words:”Times New Roman体加粗，小四号。</w:t>
            </w:r>
          </w:p>
          <w:p>
            <w:pPr>
              <w:numPr>
                <w:ilvl w:val="0"/>
                <w:numId w:val="8"/>
              </w:numPr>
              <w:tabs>
                <w:tab w:val="left" w:pos="210"/>
              </w:tabs>
              <w:adjustRightInd w:val="0"/>
              <w:snapToGrid w:val="0"/>
              <w:ind w:left="3" w:hanging="3"/>
              <w:rPr>
                <w:szCs w:val="21"/>
              </w:rPr>
            </w:pPr>
            <w:r>
              <w:rPr>
                <w:szCs w:val="21"/>
              </w:rPr>
              <w:t>每个英文关键词用“；”分隔。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tcPr>
          <w:p>
            <w:pPr>
              <w:adjustRightInd w:val="0"/>
              <w:spacing w:line="360" w:lineRule="auto"/>
              <w:jc w:val="center"/>
              <w:rPr>
                <w:szCs w:val="21"/>
              </w:rPr>
            </w:pPr>
            <w:r>
              <w:rPr>
                <w:szCs w:val="21"/>
              </w:rPr>
              <w:t>目  录</w:t>
            </w:r>
          </w:p>
        </w:tc>
        <w:tc>
          <w:tcPr>
            <w:tcW w:w="1360" w:type="dxa"/>
          </w:tcPr>
          <w:p>
            <w:pPr>
              <w:adjustRightInd w:val="0"/>
              <w:spacing w:line="360" w:lineRule="auto"/>
              <w:jc w:val="center"/>
              <w:rPr>
                <w:szCs w:val="21"/>
              </w:rPr>
            </w:pPr>
            <w:r>
              <w:rPr>
                <w:szCs w:val="21"/>
              </w:rPr>
              <w:t>目录标题</w:t>
            </w:r>
          </w:p>
        </w:tc>
        <w:tc>
          <w:tcPr>
            <w:tcW w:w="6735" w:type="dxa"/>
            <w:vAlign w:val="center"/>
          </w:tcPr>
          <w:p>
            <w:pPr>
              <w:numPr>
                <w:ilvl w:val="0"/>
                <w:numId w:val="8"/>
              </w:numPr>
              <w:tabs>
                <w:tab w:val="left" w:pos="210"/>
              </w:tabs>
              <w:adjustRightInd w:val="0"/>
              <w:snapToGrid w:val="0"/>
              <w:ind w:left="3" w:hanging="3"/>
              <w:rPr>
                <w:szCs w:val="21"/>
              </w:rPr>
            </w:pPr>
            <w:r>
              <w:rPr>
                <w:szCs w:val="21"/>
              </w:rPr>
              <w:t>同中文摘要标题格式。</w:t>
            </w:r>
          </w:p>
          <w:p>
            <w:pPr>
              <w:numPr>
                <w:ilvl w:val="0"/>
                <w:numId w:val="8"/>
              </w:numPr>
              <w:tabs>
                <w:tab w:val="left" w:pos="210"/>
              </w:tabs>
              <w:adjustRightInd w:val="0"/>
              <w:snapToGrid w:val="0"/>
              <w:ind w:left="3" w:hanging="3"/>
              <w:rPr>
                <w:szCs w:val="21"/>
              </w:rPr>
            </w:pPr>
            <w:r>
              <w:rPr>
                <w:szCs w:val="21"/>
              </w:rPr>
              <w:t>“目”与“录”之间空两个字符。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pPr>
              <w:adjustRightInd w:val="0"/>
              <w:spacing w:line="360" w:lineRule="auto"/>
              <w:jc w:val="center"/>
              <w:rPr>
                <w:szCs w:val="21"/>
              </w:rPr>
            </w:pPr>
          </w:p>
        </w:tc>
        <w:tc>
          <w:tcPr>
            <w:tcW w:w="1360" w:type="dxa"/>
          </w:tcPr>
          <w:p>
            <w:pPr>
              <w:adjustRightInd w:val="0"/>
              <w:spacing w:line="360" w:lineRule="auto"/>
              <w:jc w:val="center"/>
              <w:rPr>
                <w:szCs w:val="21"/>
              </w:rPr>
            </w:pPr>
            <w:r>
              <w:rPr>
                <w:szCs w:val="21"/>
              </w:rPr>
              <w:t>内容中标题</w:t>
            </w:r>
          </w:p>
        </w:tc>
        <w:tc>
          <w:tcPr>
            <w:tcW w:w="6735" w:type="dxa"/>
            <w:vAlign w:val="center"/>
          </w:tcPr>
          <w:p>
            <w:pPr>
              <w:numPr>
                <w:ilvl w:val="0"/>
                <w:numId w:val="8"/>
              </w:numPr>
              <w:tabs>
                <w:tab w:val="left" w:pos="210"/>
              </w:tabs>
              <w:adjustRightInd w:val="0"/>
              <w:snapToGrid w:val="0"/>
              <w:ind w:left="3" w:hanging="3"/>
              <w:rPr>
                <w:szCs w:val="21"/>
              </w:rPr>
            </w:pPr>
            <w:r>
              <w:rPr>
                <w:szCs w:val="21"/>
              </w:rPr>
              <w:t>宋体，小四号，</w:t>
            </w:r>
            <w:r>
              <w:rPr>
                <w:rFonts w:hint="eastAsia"/>
                <w:szCs w:val="21"/>
              </w:rPr>
              <w:t>两端</w:t>
            </w:r>
            <w:r>
              <w:rPr>
                <w:szCs w:val="21"/>
              </w:rPr>
              <w:t>对齐；1.5倍行距</w:t>
            </w:r>
            <w:r>
              <w:rPr>
                <w:rFonts w:hint="eastAsia"/>
                <w:szCs w:val="21"/>
              </w:rPr>
              <w:t>，段前0，段后0</w:t>
            </w:r>
            <w:r>
              <w:rPr>
                <w:szCs w:val="21"/>
              </w:rPr>
              <w:t>。</w:t>
            </w:r>
          </w:p>
          <w:p>
            <w:pPr>
              <w:numPr>
                <w:ilvl w:val="0"/>
                <w:numId w:val="8"/>
              </w:numPr>
              <w:tabs>
                <w:tab w:val="left" w:pos="210"/>
              </w:tabs>
              <w:adjustRightInd w:val="0"/>
              <w:snapToGrid w:val="0"/>
              <w:ind w:left="3" w:hanging="3"/>
              <w:rPr>
                <w:szCs w:val="21"/>
              </w:rPr>
            </w:pPr>
            <w:r>
              <w:rPr>
                <w:szCs w:val="21"/>
              </w:rPr>
              <w:t>内容和页码之间用“…………”连接，并注明内容的对应页码，最后采用分散对齐。</w:t>
            </w:r>
          </w:p>
          <w:p>
            <w:pPr>
              <w:numPr>
                <w:ilvl w:val="0"/>
                <w:numId w:val="8"/>
              </w:numPr>
              <w:tabs>
                <w:tab w:val="left" w:pos="210"/>
              </w:tabs>
              <w:adjustRightInd w:val="0"/>
              <w:snapToGrid w:val="0"/>
              <w:ind w:left="3" w:hanging="3"/>
              <w:rPr>
                <w:szCs w:val="21"/>
              </w:rPr>
            </w:pPr>
            <w:r>
              <w:rPr>
                <w:rFonts w:hint="eastAsia"/>
                <w:szCs w:val="21"/>
              </w:rPr>
              <w:t>目录中的标题应在文档编辑器中自动生成。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tcPr>
          <w:p>
            <w:pPr>
              <w:adjustRightInd w:val="0"/>
              <w:spacing w:line="360" w:lineRule="auto"/>
              <w:jc w:val="center"/>
              <w:rPr>
                <w:szCs w:val="21"/>
              </w:rPr>
            </w:pPr>
            <w:r>
              <w:rPr>
                <w:szCs w:val="21"/>
              </w:rPr>
              <w:t>正  文</w:t>
            </w:r>
          </w:p>
        </w:tc>
        <w:tc>
          <w:tcPr>
            <w:tcW w:w="1360" w:type="dxa"/>
          </w:tcPr>
          <w:p>
            <w:pPr>
              <w:adjustRightInd w:val="0"/>
              <w:spacing w:line="360" w:lineRule="auto"/>
              <w:jc w:val="center"/>
              <w:rPr>
                <w:szCs w:val="21"/>
              </w:rPr>
            </w:pPr>
            <w:r>
              <w:rPr>
                <w:szCs w:val="21"/>
              </w:rPr>
              <w:t>一级标题</w:t>
            </w:r>
          </w:p>
        </w:tc>
        <w:tc>
          <w:tcPr>
            <w:tcW w:w="6735" w:type="dxa"/>
            <w:vAlign w:val="center"/>
          </w:tcPr>
          <w:p>
            <w:pPr>
              <w:numPr>
                <w:ilvl w:val="0"/>
                <w:numId w:val="8"/>
              </w:numPr>
              <w:tabs>
                <w:tab w:val="left" w:pos="210"/>
              </w:tabs>
              <w:adjustRightInd w:val="0"/>
              <w:snapToGrid w:val="0"/>
              <w:ind w:left="3" w:hanging="3"/>
              <w:rPr>
                <w:szCs w:val="21"/>
              </w:rPr>
            </w:pPr>
            <w:r>
              <w:rPr>
                <w:szCs w:val="21"/>
              </w:rPr>
              <w:t>黑体，小三号，左对齐，缩进2字符；1.5倍行距，段前1倍行距，段后0.5倍行距。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93" w:type="dxa"/>
            <w:vMerge w:val="continue"/>
          </w:tcPr>
          <w:p>
            <w:pPr>
              <w:adjustRightInd w:val="0"/>
              <w:spacing w:line="360" w:lineRule="auto"/>
              <w:jc w:val="center"/>
              <w:rPr>
                <w:szCs w:val="21"/>
              </w:rPr>
            </w:pPr>
          </w:p>
        </w:tc>
        <w:tc>
          <w:tcPr>
            <w:tcW w:w="1360" w:type="dxa"/>
          </w:tcPr>
          <w:p>
            <w:pPr>
              <w:adjustRightInd w:val="0"/>
              <w:spacing w:line="360" w:lineRule="auto"/>
              <w:jc w:val="center"/>
              <w:rPr>
                <w:szCs w:val="21"/>
              </w:rPr>
            </w:pPr>
            <w:r>
              <w:rPr>
                <w:szCs w:val="21"/>
              </w:rPr>
              <w:t>二级标题</w:t>
            </w:r>
          </w:p>
        </w:tc>
        <w:tc>
          <w:tcPr>
            <w:tcW w:w="6735" w:type="dxa"/>
            <w:vAlign w:val="center"/>
          </w:tcPr>
          <w:p>
            <w:pPr>
              <w:numPr>
                <w:ilvl w:val="0"/>
                <w:numId w:val="8"/>
              </w:numPr>
              <w:tabs>
                <w:tab w:val="left" w:pos="210"/>
              </w:tabs>
              <w:adjustRightInd w:val="0"/>
              <w:snapToGrid w:val="0"/>
              <w:ind w:left="3" w:hanging="3"/>
              <w:rPr>
                <w:szCs w:val="21"/>
              </w:rPr>
            </w:pPr>
            <w:r>
              <w:rPr>
                <w:szCs w:val="21"/>
              </w:rPr>
              <w:t>黑体，四号，左对齐，缩进2字符；1.5倍行距，段前0.5倍行距，段后0。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pPr>
              <w:adjustRightInd w:val="0"/>
              <w:spacing w:line="360" w:lineRule="auto"/>
              <w:jc w:val="center"/>
              <w:rPr>
                <w:szCs w:val="21"/>
              </w:rPr>
            </w:pPr>
          </w:p>
        </w:tc>
        <w:tc>
          <w:tcPr>
            <w:tcW w:w="1360" w:type="dxa"/>
          </w:tcPr>
          <w:p>
            <w:pPr>
              <w:adjustRightInd w:val="0"/>
              <w:spacing w:line="360" w:lineRule="auto"/>
              <w:jc w:val="center"/>
              <w:rPr>
                <w:szCs w:val="21"/>
              </w:rPr>
            </w:pPr>
            <w:r>
              <w:rPr>
                <w:szCs w:val="21"/>
              </w:rPr>
              <w:t>三级标题</w:t>
            </w:r>
          </w:p>
        </w:tc>
        <w:tc>
          <w:tcPr>
            <w:tcW w:w="6735" w:type="dxa"/>
            <w:vAlign w:val="center"/>
          </w:tcPr>
          <w:p>
            <w:pPr>
              <w:numPr>
                <w:ilvl w:val="0"/>
                <w:numId w:val="8"/>
              </w:numPr>
              <w:tabs>
                <w:tab w:val="left" w:pos="210"/>
              </w:tabs>
              <w:adjustRightInd w:val="0"/>
              <w:snapToGrid w:val="0"/>
              <w:ind w:left="3" w:hanging="3"/>
              <w:rPr>
                <w:szCs w:val="21"/>
              </w:rPr>
            </w:pPr>
            <w:r>
              <w:rPr>
                <w:szCs w:val="21"/>
              </w:rPr>
              <w:t>黑体，小四号，左对齐，缩进2字符；；1.5倍行距，段前0，段后0。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pPr>
              <w:adjustRightInd w:val="0"/>
              <w:spacing w:line="360" w:lineRule="auto"/>
              <w:jc w:val="center"/>
              <w:rPr>
                <w:szCs w:val="21"/>
              </w:rPr>
            </w:pPr>
          </w:p>
        </w:tc>
        <w:tc>
          <w:tcPr>
            <w:tcW w:w="1360" w:type="dxa"/>
          </w:tcPr>
          <w:p>
            <w:pPr>
              <w:adjustRightInd w:val="0"/>
              <w:snapToGrid w:val="0"/>
              <w:jc w:val="center"/>
              <w:rPr>
                <w:szCs w:val="21"/>
              </w:rPr>
            </w:pPr>
            <w:r>
              <w:rPr>
                <w:szCs w:val="21"/>
              </w:rPr>
              <w:t>四级及以</w:t>
            </w:r>
            <w:r>
              <w:rPr>
                <w:rFonts w:hint="eastAsia"/>
                <w:szCs w:val="21"/>
              </w:rPr>
              <w:t>上</w:t>
            </w:r>
            <w:r>
              <w:rPr>
                <w:szCs w:val="21"/>
              </w:rPr>
              <w:t>标题</w:t>
            </w:r>
          </w:p>
        </w:tc>
        <w:tc>
          <w:tcPr>
            <w:tcW w:w="6735" w:type="dxa"/>
            <w:vAlign w:val="center"/>
          </w:tcPr>
          <w:p>
            <w:pPr>
              <w:tabs>
                <w:tab w:val="left" w:pos="210"/>
              </w:tabs>
              <w:adjustRightInd w:val="0"/>
              <w:snapToGrid w:val="0"/>
              <w:rPr>
                <w:szCs w:val="21"/>
              </w:rPr>
            </w:pPr>
            <w:r>
              <w:rPr>
                <w:szCs w:val="21"/>
              </w:rPr>
              <w:t>同正文文字格式。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pPr>
              <w:adjustRightInd w:val="0"/>
              <w:spacing w:line="360" w:lineRule="auto"/>
              <w:jc w:val="center"/>
              <w:rPr>
                <w:szCs w:val="21"/>
              </w:rPr>
            </w:pPr>
          </w:p>
        </w:tc>
        <w:tc>
          <w:tcPr>
            <w:tcW w:w="1360" w:type="dxa"/>
            <w:vAlign w:val="center"/>
          </w:tcPr>
          <w:p>
            <w:pPr>
              <w:adjustRightInd w:val="0"/>
              <w:spacing w:line="360" w:lineRule="auto"/>
              <w:jc w:val="center"/>
              <w:rPr>
                <w:szCs w:val="21"/>
              </w:rPr>
            </w:pPr>
            <w:r>
              <w:rPr>
                <w:szCs w:val="21"/>
              </w:rPr>
              <w:t>正文文字</w:t>
            </w:r>
          </w:p>
        </w:tc>
        <w:tc>
          <w:tcPr>
            <w:tcW w:w="6735" w:type="dxa"/>
            <w:vAlign w:val="center"/>
          </w:tcPr>
          <w:p>
            <w:pPr>
              <w:numPr>
                <w:ilvl w:val="0"/>
                <w:numId w:val="8"/>
              </w:numPr>
              <w:tabs>
                <w:tab w:val="left" w:pos="210"/>
              </w:tabs>
              <w:adjustRightInd w:val="0"/>
              <w:snapToGrid w:val="0"/>
              <w:ind w:left="3" w:hanging="3"/>
              <w:rPr>
                <w:szCs w:val="21"/>
              </w:rPr>
            </w:pPr>
            <w:r>
              <w:rPr>
                <w:szCs w:val="21"/>
              </w:rPr>
              <w:t>宋体，小四号，两端对齐，左、右侧无缩进；1.5倍行距，段前0，段后0；首行缩进2字符。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193" w:type="dxa"/>
            <w:vMerge w:val="continue"/>
          </w:tcPr>
          <w:p>
            <w:pPr>
              <w:adjustRightInd w:val="0"/>
              <w:spacing w:line="360" w:lineRule="auto"/>
              <w:jc w:val="center"/>
              <w:rPr>
                <w:szCs w:val="21"/>
              </w:rPr>
            </w:pPr>
          </w:p>
        </w:tc>
        <w:tc>
          <w:tcPr>
            <w:tcW w:w="1360" w:type="dxa"/>
            <w:vAlign w:val="center"/>
          </w:tcPr>
          <w:p>
            <w:pPr>
              <w:adjustRightInd w:val="0"/>
              <w:spacing w:line="360" w:lineRule="auto"/>
              <w:jc w:val="center"/>
              <w:rPr>
                <w:szCs w:val="21"/>
              </w:rPr>
            </w:pPr>
            <w:r>
              <w:rPr>
                <w:szCs w:val="21"/>
              </w:rPr>
              <w:t>表格标题</w:t>
            </w:r>
          </w:p>
        </w:tc>
        <w:tc>
          <w:tcPr>
            <w:tcW w:w="6735" w:type="dxa"/>
            <w:vAlign w:val="center"/>
          </w:tcPr>
          <w:p>
            <w:pPr>
              <w:numPr>
                <w:ilvl w:val="0"/>
                <w:numId w:val="8"/>
              </w:numPr>
              <w:tabs>
                <w:tab w:val="left" w:pos="210"/>
              </w:tabs>
              <w:adjustRightInd w:val="0"/>
              <w:snapToGrid w:val="0"/>
              <w:ind w:left="3" w:hanging="3"/>
              <w:rPr>
                <w:szCs w:val="21"/>
              </w:rPr>
            </w:pPr>
            <w:r>
              <w:rPr>
                <w:rFonts w:hint="eastAsia"/>
                <w:szCs w:val="21"/>
              </w:rPr>
              <w:t>标题标题位于表格上方，表格标题的文字为：</w:t>
            </w:r>
            <w:r>
              <w:rPr>
                <w:szCs w:val="21"/>
              </w:rPr>
              <w:t>宋体，五号</w:t>
            </w:r>
            <w:r>
              <w:rPr>
                <w:rFonts w:hint="eastAsia"/>
                <w:szCs w:val="21"/>
              </w:rPr>
              <w:t>，</w:t>
            </w:r>
            <w:r>
              <w:rPr>
                <w:szCs w:val="21"/>
              </w:rPr>
              <w:t>居中</w:t>
            </w:r>
            <w:r>
              <w:rPr>
                <w:rFonts w:hint="eastAsia"/>
                <w:szCs w:val="21"/>
              </w:rPr>
              <w:t>；</w:t>
            </w:r>
            <w:r>
              <w:rPr>
                <w:szCs w:val="21"/>
              </w:rPr>
              <w:t>1.5倍行距，段前0，段后0。</w:t>
            </w:r>
          </w:p>
          <w:p>
            <w:pPr>
              <w:numPr>
                <w:ilvl w:val="0"/>
                <w:numId w:val="8"/>
              </w:numPr>
              <w:tabs>
                <w:tab w:val="left" w:pos="210"/>
              </w:tabs>
              <w:adjustRightInd w:val="0"/>
              <w:snapToGrid w:val="0"/>
              <w:ind w:left="3" w:hanging="3"/>
              <w:rPr>
                <w:szCs w:val="21"/>
              </w:rPr>
            </w:pPr>
            <w:r>
              <w:rPr>
                <w:szCs w:val="21"/>
              </w:rPr>
              <w:t>表格标题“表1：××××”，从“表1”开始连续编号，冒号后面标明表格的名称。表格中应标明统计数据的计量单位。</w:t>
            </w:r>
          </w:p>
          <w:p>
            <w:pPr>
              <w:numPr>
                <w:ilvl w:val="0"/>
                <w:numId w:val="8"/>
              </w:numPr>
              <w:tabs>
                <w:tab w:val="left" w:pos="210"/>
              </w:tabs>
              <w:adjustRightInd w:val="0"/>
              <w:snapToGrid w:val="0"/>
              <w:ind w:left="3" w:hanging="3"/>
              <w:rPr>
                <w:szCs w:val="21"/>
              </w:rPr>
            </w:pPr>
            <w:r>
              <w:rPr>
                <w:szCs w:val="21"/>
              </w:rPr>
              <w:t>表格跨页，表头应设置为“标题行重复显示”。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193" w:type="dxa"/>
            <w:vMerge w:val="continue"/>
          </w:tcPr>
          <w:p>
            <w:pPr>
              <w:adjustRightInd w:val="0"/>
              <w:spacing w:line="360" w:lineRule="auto"/>
              <w:jc w:val="center"/>
              <w:rPr>
                <w:szCs w:val="21"/>
              </w:rPr>
            </w:pPr>
          </w:p>
        </w:tc>
        <w:tc>
          <w:tcPr>
            <w:tcW w:w="1360" w:type="dxa"/>
            <w:vAlign w:val="center"/>
          </w:tcPr>
          <w:p>
            <w:pPr>
              <w:adjustRightInd w:val="0"/>
              <w:snapToGrid w:val="0"/>
              <w:jc w:val="center"/>
              <w:rPr>
                <w:szCs w:val="21"/>
              </w:rPr>
            </w:pPr>
            <w:r>
              <w:rPr>
                <w:szCs w:val="21"/>
              </w:rPr>
              <w:t>表格文字</w:t>
            </w:r>
            <w:r>
              <w:rPr>
                <w:rFonts w:hint="eastAsia"/>
                <w:szCs w:val="21"/>
              </w:rPr>
              <w:t>、</w:t>
            </w:r>
            <w:r>
              <w:rPr>
                <w:szCs w:val="21"/>
              </w:rPr>
              <w:t>表体</w:t>
            </w:r>
            <w:r>
              <w:rPr>
                <w:rFonts w:hint="eastAsia"/>
                <w:szCs w:val="21"/>
              </w:rPr>
              <w:t>和表格名称</w:t>
            </w:r>
          </w:p>
        </w:tc>
        <w:tc>
          <w:tcPr>
            <w:tcW w:w="6735" w:type="dxa"/>
          </w:tcPr>
          <w:p>
            <w:pPr>
              <w:numPr>
                <w:ilvl w:val="0"/>
                <w:numId w:val="8"/>
              </w:numPr>
              <w:tabs>
                <w:tab w:val="left" w:pos="210"/>
              </w:tabs>
              <w:adjustRightInd w:val="0"/>
              <w:snapToGrid w:val="0"/>
              <w:ind w:left="3" w:hanging="3"/>
              <w:rPr>
                <w:szCs w:val="21"/>
              </w:rPr>
            </w:pPr>
            <w:r>
              <w:rPr>
                <w:rFonts w:hint="eastAsia"/>
                <w:szCs w:val="21"/>
              </w:rPr>
              <w:t>表格文字为：</w:t>
            </w:r>
            <w:r>
              <w:rPr>
                <w:szCs w:val="21"/>
              </w:rPr>
              <w:t>宋体，五号；两端对齐，1倍行距，段前0，段后0。（可根据内容适当调整）</w:t>
            </w:r>
          </w:p>
          <w:p>
            <w:pPr>
              <w:numPr>
                <w:ilvl w:val="0"/>
                <w:numId w:val="8"/>
              </w:numPr>
              <w:tabs>
                <w:tab w:val="left" w:pos="210"/>
              </w:tabs>
              <w:adjustRightInd w:val="0"/>
              <w:snapToGrid w:val="0"/>
              <w:ind w:left="3" w:hanging="3"/>
              <w:rPr>
                <w:szCs w:val="21"/>
              </w:rPr>
            </w:pPr>
            <w:r>
              <w:rPr>
                <w:szCs w:val="21"/>
              </w:rPr>
              <w:t>表体的上下、左右和其余表里线一律使用0.5磅实线。</w:t>
            </w:r>
          </w:p>
          <w:p>
            <w:pPr>
              <w:numPr>
                <w:ilvl w:val="0"/>
                <w:numId w:val="8"/>
              </w:numPr>
              <w:tabs>
                <w:tab w:val="left" w:pos="210"/>
              </w:tabs>
              <w:adjustRightInd w:val="0"/>
              <w:snapToGrid w:val="0"/>
              <w:ind w:left="3" w:hanging="3"/>
              <w:rPr>
                <w:szCs w:val="21"/>
              </w:rPr>
            </w:pPr>
            <w:r>
              <w:rPr>
                <w:szCs w:val="21"/>
              </w:rPr>
              <w:t>在表格下应</w:t>
            </w:r>
            <w:r>
              <w:rPr>
                <w:rFonts w:hint="eastAsia"/>
                <w:szCs w:val="21"/>
              </w:rPr>
              <w:t>以</w:t>
            </w:r>
            <w:r>
              <w:rPr>
                <w:szCs w:val="21"/>
              </w:rPr>
              <w:t>“资料来源：××××”的形式标明资料的来源，资料来源的文字为：宋体，五号，与表格左侧边框竖线对齐。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193" w:type="dxa"/>
            <w:vMerge w:val="continue"/>
          </w:tcPr>
          <w:p>
            <w:pPr>
              <w:adjustRightInd w:val="0"/>
              <w:spacing w:line="360" w:lineRule="auto"/>
              <w:jc w:val="center"/>
              <w:rPr>
                <w:szCs w:val="21"/>
              </w:rPr>
            </w:pPr>
          </w:p>
        </w:tc>
        <w:tc>
          <w:tcPr>
            <w:tcW w:w="1360" w:type="dxa"/>
            <w:vAlign w:val="center"/>
          </w:tcPr>
          <w:p>
            <w:pPr>
              <w:adjustRightInd w:val="0"/>
              <w:spacing w:line="360" w:lineRule="auto"/>
              <w:jc w:val="center"/>
              <w:rPr>
                <w:szCs w:val="21"/>
              </w:rPr>
            </w:pPr>
            <w:r>
              <w:rPr>
                <w:szCs w:val="21"/>
              </w:rPr>
              <w:t>图形标题</w:t>
            </w:r>
          </w:p>
        </w:tc>
        <w:tc>
          <w:tcPr>
            <w:tcW w:w="6735" w:type="dxa"/>
            <w:vAlign w:val="center"/>
          </w:tcPr>
          <w:p>
            <w:pPr>
              <w:numPr>
                <w:ilvl w:val="0"/>
                <w:numId w:val="8"/>
              </w:numPr>
              <w:tabs>
                <w:tab w:val="left" w:pos="210"/>
              </w:tabs>
              <w:adjustRightInd w:val="0"/>
              <w:snapToGrid w:val="0"/>
              <w:ind w:left="3" w:hanging="3"/>
              <w:rPr>
                <w:szCs w:val="21"/>
              </w:rPr>
            </w:pPr>
            <w:r>
              <w:rPr>
                <w:rFonts w:hint="eastAsia"/>
                <w:szCs w:val="21"/>
              </w:rPr>
              <w:t>图形标题在图形下方，图形标题的文字为：</w:t>
            </w:r>
            <w:r>
              <w:rPr>
                <w:szCs w:val="21"/>
              </w:rPr>
              <w:t>宋体，五号</w:t>
            </w:r>
            <w:r>
              <w:rPr>
                <w:rFonts w:hint="eastAsia"/>
                <w:szCs w:val="21"/>
              </w:rPr>
              <w:t>，</w:t>
            </w:r>
            <w:r>
              <w:rPr>
                <w:szCs w:val="21"/>
              </w:rPr>
              <w:t>居中</w:t>
            </w:r>
            <w:r>
              <w:rPr>
                <w:rFonts w:hint="eastAsia"/>
                <w:szCs w:val="21"/>
              </w:rPr>
              <w:t>；</w:t>
            </w:r>
            <w:r>
              <w:rPr>
                <w:szCs w:val="21"/>
              </w:rPr>
              <w:t>1.5倍行距，段前0，段后0。</w:t>
            </w:r>
          </w:p>
          <w:p>
            <w:pPr>
              <w:numPr>
                <w:ilvl w:val="0"/>
                <w:numId w:val="8"/>
              </w:numPr>
              <w:tabs>
                <w:tab w:val="left" w:pos="210"/>
              </w:tabs>
              <w:adjustRightInd w:val="0"/>
              <w:snapToGrid w:val="0"/>
              <w:ind w:left="3" w:hanging="3"/>
              <w:rPr>
                <w:szCs w:val="21"/>
              </w:rPr>
            </w:pPr>
            <w:r>
              <w:rPr>
                <w:szCs w:val="21"/>
              </w:rPr>
              <w:t>图形标题从“图1：××××”，从“图1”开始连续编号，冒号后面标明图形的名称。图中若有分图，分图号用a、b、c等标序，分图的图名以图注形式写在图</w:t>
            </w:r>
            <w:r>
              <w:rPr>
                <w:rFonts w:hint="eastAsia"/>
                <w:szCs w:val="21"/>
              </w:rPr>
              <w:t>形</w:t>
            </w:r>
            <w:r>
              <w:rPr>
                <w:szCs w:val="21"/>
              </w:rPr>
              <w:t>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193" w:type="dxa"/>
            <w:vMerge w:val="continue"/>
          </w:tcPr>
          <w:p>
            <w:pPr>
              <w:adjustRightInd w:val="0"/>
              <w:spacing w:line="360" w:lineRule="auto"/>
              <w:jc w:val="center"/>
              <w:rPr>
                <w:szCs w:val="21"/>
              </w:rPr>
            </w:pPr>
          </w:p>
        </w:tc>
        <w:tc>
          <w:tcPr>
            <w:tcW w:w="1360" w:type="dxa"/>
            <w:vAlign w:val="center"/>
          </w:tcPr>
          <w:p>
            <w:pPr>
              <w:adjustRightInd w:val="0"/>
              <w:snapToGrid w:val="0"/>
              <w:jc w:val="center"/>
              <w:rPr>
                <w:szCs w:val="21"/>
              </w:rPr>
            </w:pPr>
            <w:r>
              <w:rPr>
                <w:szCs w:val="21"/>
              </w:rPr>
              <w:t>图形</w:t>
            </w:r>
            <w:r>
              <w:rPr>
                <w:rFonts w:hint="eastAsia"/>
                <w:szCs w:val="21"/>
              </w:rPr>
              <w:t>和图形名称</w:t>
            </w:r>
          </w:p>
        </w:tc>
        <w:tc>
          <w:tcPr>
            <w:tcW w:w="6735" w:type="dxa"/>
            <w:vAlign w:val="center"/>
          </w:tcPr>
          <w:p>
            <w:pPr>
              <w:numPr>
                <w:ilvl w:val="0"/>
                <w:numId w:val="8"/>
              </w:numPr>
              <w:tabs>
                <w:tab w:val="left" w:pos="210"/>
              </w:tabs>
              <w:adjustRightInd w:val="0"/>
              <w:snapToGrid w:val="0"/>
              <w:ind w:left="3" w:hanging="3"/>
              <w:rPr>
                <w:szCs w:val="21"/>
              </w:rPr>
            </w:pPr>
            <w:r>
              <w:rPr>
                <w:szCs w:val="21"/>
              </w:rPr>
              <w:t>图形及标题：居中，上下环绕。</w:t>
            </w:r>
          </w:p>
          <w:p>
            <w:pPr>
              <w:numPr>
                <w:ilvl w:val="0"/>
                <w:numId w:val="8"/>
              </w:numPr>
              <w:tabs>
                <w:tab w:val="left" w:pos="210"/>
              </w:tabs>
              <w:adjustRightInd w:val="0"/>
              <w:snapToGrid w:val="0"/>
              <w:ind w:left="3" w:hanging="3"/>
              <w:rPr>
                <w:szCs w:val="21"/>
              </w:rPr>
            </w:pPr>
            <w:r>
              <w:rPr>
                <w:szCs w:val="21"/>
              </w:rPr>
              <w:t>如为统计数据，应在图形中应标明数据的计量单位。</w:t>
            </w:r>
          </w:p>
          <w:p>
            <w:pPr>
              <w:numPr>
                <w:ilvl w:val="0"/>
                <w:numId w:val="8"/>
              </w:numPr>
              <w:tabs>
                <w:tab w:val="left" w:pos="210"/>
              </w:tabs>
              <w:adjustRightInd w:val="0"/>
              <w:snapToGrid w:val="0"/>
              <w:ind w:left="3" w:hanging="3"/>
              <w:rPr>
                <w:szCs w:val="21"/>
              </w:rPr>
            </w:pPr>
            <w:r>
              <w:rPr>
                <w:szCs w:val="21"/>
              </w:rPr>
              <w:t>在</w:t>
            </w:r>
            <w:r>
              <w:rPr>
                <w:rFonts w:hint="eastAsia"/>
                <w:szCs w:val="21"/>
              </w:rPr>
              <w:t>图形</w:t>
            </w:r>
            <w:r>
              <w:rPr>
                <w:szCs w:val="21"/>
              </w:rPr>
              <w:t>下应</w:t>
            </w:r>
            <w:r>
              <w:rPr>
                <w:rFonts w:hint="eastAsia"/>
                <w:szCs w:val="21"/>
              </w:rPr>
              <w:t>以</w:t>
            </w:r>
            <w:r>
              <w:rPr>
                <w:szCs w:val="21"/>
              </w:rPr>
              <w:t>“资料来源：××××”的形式标明资料的来源，资料来源的文字为：宋体，五号，与</w:t>
            </w:r>
            <w:r>
              <w:rPr>
                <w:rFonts w:hint="eastAsia"/>
                <w:szCs w:val="21"/>
              </w:rPr>
              <w:t>图形</w:t>
            </w:r>
            <w:r>
              <w:rPr>
                <w:szCs w:val="21"/>
              </w:rPr>
              <w:t>左侧边框竖线对齐。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93" w:type="dxa"/>
            <w:vMerge w:val="restart"/>
          </w:tcPr>
          <w:p>
            <w:pPr>
              <w:adjustRightInd w:val="0"/>
              <w:spacing w:line="360" w:lineRule="auto"/>
              <w:jc w:val="center"/>
              <w:rPr>
                <w:szCs w:val="21"/>
              </w:rPr>
            </w:pPr>
            <w:r>
              <w:rPr>
                <w:szCs w:val="21"/>
              </w:rPr>
              <w:t>参考文献</w:t>
            </w:r>
          </w:p>
        </w:tc>
        <w:tc>
          <w:tcPr>
            <w:tcW w:w="1360" w:type="dxa"/>
          </w:tcPr>
          <w:p>
            <w:pPr>
              <w:adjustRightInd w:val="0"/>
              <w:snapToGrid w:val="0"/>
              <w:spacing w:before="93" w:beforeLines="30"/>
              <w:jc w:val="center"/>
              <w:rPr>
                <w:szCs w:val="21"/>
              </w:rPr>
            </w:pPr>
            <w:r>
              <w:rPr>
                <w:szCs w:val="21"/>
              </w:rPr>
              <w:t>参考文献</w:t>
            </w:r>
          </w:p>
          <w:p>
            <w:pPr>
              <w:adjustRightInd w:val="0"/>
              <w:snapToGrid w:val="0"/>
              <w:jc w:val="center"/>
              <w:rPr>
                <w:szCs w:val="21"/>
              </w:rPr>
            </w:pPr>
            <w:r>
              <w:rPr>
                <w:szCs w:val="21"/>
              </w:rPr>
              <w:t>标题</w:t>
            </w:r>
          </w:p>
        </w:tc>
        <w:tc>
          <w:tcPr>
            <w:tcW w:w="6735" w:type="dxa"/>
            <w:vAlign w:val="center"/>
          </w:tcPr>
          <w:p>
            <w:pPr>
              <w:numPr>
                <w:ilvl w:val="0"/>
                <w:numId w:val="8"/>
              </w:numPr>
              <w:tabs>
                <w:tab w:val="left" w:pos="210"/>
              </w:tabs>
              <w:adjustRightInd w:val="0"/>
              <w:snapToGrid w:val="0"/>
              <w:ind w:left="3" w:hanging="3"/>
              <w:rPr>
                <w:szCs w:val="21"/>
              </w:rPr>
            </w:pPr>
            <w:r>
              <w:rPr>
                <w:szCs w:val="21"/>
              </w:rPr>
              <w:t>同中文摘要标题格式。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93" w:type="dxa"/>
            <w:vMerge w:val="continue"/>
          </w:tcPr>
          <w:p>
            <w:pPr>
              <w:adjustRightInd w:val="0"/>
              <w:spacing w:line="360" w:lineRule="auto"/>
              <w:jc w:val="center"/>
              <w:rPr>
                <w:szCs w:val="21"/>
              </w:rPr>
            </w:pPr>
          </w:p>
        </w:tc>
        <w:tc>
          <w:tcPr>
            <w:tcW w:w="1360" w:type="dxa"/>
            <w:vAlign w:val="center"/>
          </w:tcPr>
          <w:p>
            <w:pPr>
              <w:adjustRightInd w:val="0"/>
              <w:snapToGrid w:val="0"/>
              <w:jc w:val="center"/>
              <w:rPr>
                <w:szCs w:val="21"/>
              </w:rPr>
            </w:pPr>
            <w:r>
              <w:rPr>
                <w:szCs w:val="21"/>
              </w:rPr>
              <w:t>参考文献</w:t>
            </w:r>
          </w:p>
          <w:p>
            <w:pPr>
              <w:adjustRightInd w:val="0"/>
              <w:snapToGrid w:val="0"/>
              <w:jc w:val="center"/>
              <w:rPr>
                <w:szCs w:val="21"/>
              </w:rPr>
            </w:pPr>
            <w:r>
              <w:rPr>
                <w:szCs w:val="21"/>
              </w:rPr>
              <w:t>条目</w:t>
            </w:r>
          </w:p>
        </w:tc>
        <w:tc>
          <w:tcPr>
            <w:tcW w:w="6735" w:type="dxa"/>
          </w:tcPr>
          <w:p>
            <w:pPr>
              <w:numPr>
                <w:ilvl w:val="0"/>
                <w:numId w:val="8"/>
              </w:numPr>
              <w:tabs>
                <w:tab w:val="left" w:pos="210"/>
              </w:tabs>
              <w:adjustRightInd w:val="0"/>
              <w:snapToGrid w:val="0"/>
              <w:ind w:left="3" w:hanging="3"/>
              <w:rPr>
                <w:szCs w:val="21"/>
              </w:rPr>
            </w:pPr>
            <w:r>
              <w:rPr>
                <w:szCs w:val="21"/>
              </w:rPr>
              <w:t>宋体，小四号，左对齐或两端对齐，左、右侧无缩进；1.5倍行距，段前0，段后0。</w:t>
            </w:r>
          </w:p>
          <w:p>
            <w:pPr>
              <w:numPr>
                <w:ilvl w:val="0"/>
                <w:numId w:val="8"/>
              </w:numPr>
              <w:tabs>
                <w:tab w:val="left" w:pos="210"/>
              </w:tabs>
              <w:adjustRightInd w:val="0"/>
              <w:snapToGrid w:val="0"/>
              <w:ind w:left="3" w:hanging="3"/>
              <w:rPr>
                <w:szCs w:val="21"/>
              </w:rPr>
            </w:pPr>
            <w:r>
              <w:rPr>
                <w:szCs w:val="21"/>
              </w:rPr>
              <w:t>参考文献按在正文中出现的先后次序列于文后。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93" w:type="dxa"/>
            <w:vMerge w:val="restart"/>
          </w:tcPr>
          <w:p>
            <w:pPr>
              <w:adjustRightInd w:val="0"/>
              <w:spacing w:line="360" w:lineRule="auto"/>
              <w:jc w:val="center"/>
              <w:rPr>
                <w:szCs w:val="21"/>
              </w:rPr>
            </w:pPr>
            <w:r>
              <w:rPr>
                <w:szCs w:val="21"/>
              </w:rPr>
              <w:t>附  录</w:t>
            </w:r>
          </w:p>
        </w:tc>
        <w:tc>
          <w:tcPr>
            <w:tcW w:w="1360" w:type="dxa"/>
            <w:vAlign w:val="center"/>
          </w:tcPr>
          <w:p>
            <w:pPr>
              <w:adjustRightInd w:val="0"/>
              <w:jc w:val="center"/>
              <w:rPr>
                <w:szCs w:val="21"/>
              </w:rPr>
            </w:pPr>
            <w:r>
              <w:rPr>
                <w:szCs w:val="21"/>
              </w:rPr>
              <w:t>附录标题</w:t>
            </w:r>
          </w:p>
        </w:tc>
        <w:tc>
          <w:tcPr>
            <w:tcW w:w="6735" w:type="dxa"/>
            <w:vAlign w:val="center"/>
          </w:tcPr>
          <w:p>
            <w:pPr>
              <w:numPr>
                <w:ilvl w:val="0"/>
                <w:numId w:val="8"/>
              </w:numPr>
              <w:tabs>
                <w:tab w:val="left" w:pos="210"/>
              </w:tabs>
              <w:adjustRightInd w:val="0"/>
              <w:snapToGrid w:val="0"/>
              <w:ind w:left="3" w:hanging="3"/>
              <w:rPr>
                <w:szCs w:val="21"/>
              </w:rPr>
            </w:pPr>
            <w:r>
              <w:rPr>
                <w:szCs w:val="21"/>
              </w:rPr>
              <w:t>同中文摘要标题格式。</w:t>
            </w:r>
          </w:p>
          <w:p>
            <w:pPr>
              <w:numPr>
                <w:ilvl w:val="0"/>
                <w:numId w:val="8"/>
              </w:numPr>
              <w:tabs>
                <w:tab w:val="left" w:pos="210"/>
              </w:tabs>
              <w:adjustRightInd w:val="0"/>
              <w:snapToGrid w:val="0"/>
              <w:ind w:left="3" w:hanging="3"/>
              <w:rPr>
                <w:szCs w:val="21"/>
              </w:rPr>
            </w:pPr>
            <w:r>
              <w:rPr>
                <w:szCs w:val="21"/>
              </w:rPr>
              <w:t>“附”与“录”之间空两个字符。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93" w:type="dxa"/>
            <w:vMerge w:val="continue"/>
          </w:tcPr>
          <w:p>
            <w:pPr>
              <w:adjustRightInd w:val="0"/>
              <w:spacing w:line="360" w:lineRule="auto"/>
              <w:jc w:val="center"/>
              <w:rPr>
                <w:szCs w:val="21"/>
              </w:rPr>
            </w:pPr>
          </w:p>
        </w:tc>
        <w:tc>
          <w:tcPr>
            <w:tcW w:w="1360" w:type="dxa"/>
            <w:vAlign w:val="center"/>
          </w:tcPr>
          <w:p>
            <w:pPr>
              <w:adjustRightInd w:val="0"/>
              <w:jc w:val="center"/>
              <w:rPr>
                <w:szCs w:val="21"/>
              </w:rPr>
            </w:pPr>
            <w:r>
              <w:rPr>
                <w:szCs w:val="21"/>
              </w:rPr>
              <w:t>附录正文</w:t>
            </w:r>
          </w:p>
        </w:tc>
        <w:tc>
          <w:tcPr>
            <w:tcW w:w="6735" w:type="dxa"/>
            <w:vAlign w:val="center"/>
          </w:tcPr>
          <w:p>
            <w:pPr>
              <w:numPr>
                <w:ilvl w:val="0"/>
                <w:numId w:val="8"/>
              </w:numPr>
              <w:tabs>
                <w:tab w:val="left" w:pos="210"/>
              </w:tabs>
              <w:adjustRightInd w:val="0"/>
              <w:snapToGrid w:val="0"/>
              <w:ind w:left="3" w:hanging="3"/>
              <w:rPr>
                <w:szCs w:val="21"/>
              </w:rPr>
            </w:pPr>
            <w:r>
              <w:rPr>
                <w:szCs w:val="21"/>
              </w:rPr>
              <w:t>同正文文字的格式。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3" w:type="dxa"/>
            <w:vMerge w:val="restart"/>
          </w:tcPr>
          <w:p>
            <w:pPr>
              <w:adjustRightInd w:val="0"/>
              <w:spacing w:line="360" w:lineRule="auto"/>
              <w:jc w:val="center"/>
              <w:rPr>
                <w:szCs w:val="21"/>
              </w:rPr>
            </w:pPr>
            <w:r>
              <w:rPr>
                <w:szCs w:val="21"/>
              </w:rPr>
              <w:t>致  谢</w:t>
            </w:r>
          </w:p>
        </w:tc>
        <w:tc>
          <w:tcPr>
            <w:tcW w:w="1360" w:type="dxa"/>
            <w:vAlign w:val="center"/>
          </w:tcPr>
          <w:p>
            <w:pPr>
              <w:adjustRightInd w:val="0"/>
              <w:jc w:val="center"/>
              <w:rPr>
                <w:szCs w:val="21"/>
              </w:rPr>
            </w:pPr>
            <w:r>
              <w:rPr>
                <w:szCs w:val="21"/>
              </w:rPr>
              <w:t>致谢标题</w:t>
            </w:r>
          </w:p>
        </w:tc>
        <w:tc>
          <w:tcPr>
            <w:tcW w:w="6735" w:type="dxa"/>
            <w:vAlign w:val="center"/>
          </w:tcPr>
          <w:p>
            <w:pPr>
              <w:numPr>
                <w:ilvl w:val="0"/>
                <w:numId w:val="8"/>
              </w:numPr>
              <w:tabs>
                <w:tab w:val="left" w:pos="210"/>
              </w:tabs>
              <w:adjustRightInd w:val="0"/>
              <w:snapToGrid w:val="0"/>
              <w:ind w:left="3" w:hanging="3"/>
              <w:rPr>
                <w:szCs w:val="21"/>
              </w:rPr>
            </w:pPr>
            <w:r>
              <w:rPr>
                <w:szCs w:val="21"/>
              </w:rPr>
              <w:t>同中文摘要标题格式。</w:t>
            </w:r>
          </w:p>
          <w:p>
            <w:pPr>
              <w:numPr>
                <w:ilvl w:val="0"/>
                <w:numId w:val="8"/>
              </w:numPr>
              <w:tabs>
                <w:tab w:val="left" w:pos="210"/>
              </w:tabs>
              <w:adjustRightInd w:val="0"/>
              <w:snapToGrid w:val="0"/>
              <w:ind w:left="3" w:hanging="3"/>
              <w:rPr>
                <w:szCs w:val="21"/>
              </w:rPr>
            </w:pPr>
            <w:r>
              <w:rPr>
                <w:szCs w:val="21"/>
              </w:rPr>
              <w:t>“致”与“谢”之间空两个字符。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3" w:type="dxa"/>
            <w:vMerge w:val="continue"/>
          </w:tcPr>
          <w:p>
            <w:pPr>
              <w:adjustRightInd w:val="0"/>
              <w:spacing w:line="360" w:lineRule="auto"/>
              <w:jc w:val="center"/>
              <w:rPr>
                <w:szCs w:val="21"/>
              </w:rPr>
            </w:pPr>
          </w:p>
        </w:tc>
        <w:tc>
          <w:tcPr>
            <w:tcW w:w="1360" w:type="dxa"/>
            <w:vAlign w:val="center"/>
          </w:tcPr>
          <w:p>
            <w:pPr>
              <w:adjustRightInd w:val="0"/>
              <w:jc w:val="center"/>
              <w:rPr>
                <w:szCs w:val="21"/>
              </w:rPr>
            </w:pPr>
            <w:r>
              <w:rPr>
                <w:szCs w:val="21"/>
              </w:rPr>
              <w:t>谢辞</w:t>
            </w:r>
          </w:p>
        </w:tc>
        <w:tc>
          <w:tcPr>
            <w:tcW w:w="6735" w:type="dxa"/>
            <w:vAlign w:val="center"/>
          </w:tcPr>
          <w:p>
            <w:pPr>
              <w:numPr>
                <w:ilvl w:val="0"/>
                <w:numId w:val="8"/>
              </w:numPr>
              <w:tabs>
                <w:tab w:val="left" w:pos="210"/>
              </w:tabs>
              <w:adjustRightInd w:val="0"/>
              <w:snapToGrid w:val="0"/>
              <w:ind w:left="3" w:hanging="3"/>
              <w:rPr>
                <w:szCs w:val="21"/>
              </w:rPr>
            </w:pPr>
            <w:r>
              <w:rPr>
                <w:szCs w:val="21"/>
              </w:rPr>
              <w:t>同正文文字的格式。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3" w:type="dxa"/>
            <w:vMerge w:val="continue"/>
          </w:tcPr>
          <w:p>
            <w:pPr>
              <w:adjustRightInd w:val="0"/>
              <w:spacing w:line="360" w:lineRule="auto"/>
              <w:jc w:val="center"/>
              <w:rPr>
                <w:szCs w:val="21"/>
              </w:rPr>
            </w:pPr>
          </w:p>
        </w:tc>
        <w:tc>
          <w:tcPr>
            <w:tcW w:w="1360" w:type="dxa"/>
            <w:vAlign w:val="center"/>
          </w:tcPr>
          <w:p>
            <w:pPr>
              <w:adjustRightInd w:val="0"/>
              <w:jc w:val="center"/>
              <w:rPr>
                <w:szCs w:val="21"/>
              </w:rPr>
            </w:pPr>
            <w:r>
              <w:rPr>
                <w:szCs w:val="21"/>
              </w:rPr>
              <w:t>致谢人</w:t>
            </w:r>
          </w:p>
        </w:tc>
        <w:tc>
          <w:tcPr>
            <w:tcW w:w="6735" w:type="dxa"/>
            <w:vAlign w:val="center"/>
          </w:tcPr>
          <w:p>
            <w:pPr>
              <w:numPr>
                <w:ilvl w:val="0"/>
                <w:numId w:val="8"/>
              </w:numPr>
              <w:tabs>
                <w:tab w:val="left" w:pos="210"/>
              </w:tabs>
              <w:adjustRightInd w:val="0"/>
              <w:snapToGrid w:val="0"/>
              <w:ind w:left="3" w:hanging="3"/>
              <w:rPr>
                <w:szCs w:val="21"/>
              </w:rPr>
            </w:pPr>
            <w:r>
              <w:rPr>
                <w:szCs w:val="21"/>
              </w:rPr>
              <w:t>谢辞</w:t>
            </w:r>
            <w:r>
              <w:rPr>
                <w:rFonts w:hint="eastAsia"/>
                <w:szCs w:val="21"/>
              </w:rPr>
              <w:t>结束后，空两行，键入“致谢人：”。</w:t>
            </w:r>
          </w:p>
          <w:p>
            <w:pPr>
              <w:numPr>
                <w:ilvl w:val="0"/>
                <w:numId w:val="8"/>
              </w:numPr>
              <w:tabs>
                <w:tab w:val="left" w:pos="210"/>
              </w:tabs>
              <w:adjustRightInd w:val="0"/>
              <w:snapToGrid w:val="0"/>
              <w:ind w:left="3" w:hanging="3"/>
              <w:rPr>
                <w:szCs w:val="21"/>
              </w:rPr>
            </w:pPr>
            <w:r>
              <w:rPr>
                <w:szCs w:val="21"/>
              </w:rPr>
              <w:t>宋体，小四号，右对齐</w:t>
            </w:r>
            <w:r>
              <w:rPr>
                <w:rFonts w:hint="eastAsia"/>
                <w:szCs w:val="21"/>
              </w:rPr>
              <w:t>；1.5倍行距，段前0，段后0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93" w:type="dxa"/>
            <w:vMerge w:val="continue"/>
          </w:tcPr>
          <w:p>
            <w:pPr>
              <w:adjustRightInd w:val="0"/>
              <w:spacing w:line="360" w:lineRule="auto"/>
              <w:jc w:val="center"/>
              <w:rPr>
                <w:szCs w:val="21"/>
              </w:rPr>
            </w:pPr>
          </w:p>
        </w:tc>
        <w:tc>
          <w:tcPr>
            <w:tcW w:w="1360" w:type="dxa"/>
            <w:vAlign w:val="center"/>
          </w:tcPr>
          <w:p>
            <w:pPr>
              <w:adjustRightInd w:val="0"/>
              <w:jc w:val="center"/>
              <w:rPr>
                <w:szCs w:val="21"/>
              </w:rPr>
            </w:pPr>
            <w:r>
              <w:rPr>
                <w:szCs w:val="21"/>
              </w:rPr>
              <w:t>年月日</w:t>
            </w:r>
          </w:p>
        </w:tc>
        <w:tc>
          <w:tcPr>
            <w:tcW w:w="6735" w:type="dxa"/>
            <w:vAlign w:val="center"/>
          </w:tcPr>
          <w:p>
            <w:pPr>
              <w:numPr>
                <w:ilvl w:val="0"/>
                <w:numId w:val="8"/>
              </w:numPr>
              <w:tabs>
                <w:tab w:val="left" w:pos="210"/>
              </w:tabs>
              <w:adjustRightInd w:val="0"/>
              <w:snapToGrid w:val="0"/>
              <w:ind w:left="3" w:hanging="3"/>
              <w:rPr>
                <w:szCs w:val="21"/>
              </w:rPr>
            </w:pPr>
            <w:r>
              <w:rPr>
                <w:szCs w:val="21"/>
              </w:rPr>
              <w:t>宋体，小四号，右对齐</w:t>
            </w:r>
            <w:r>
              <w:rPr>
                <w:rFonts w:hint="eastAsia"/>
                <w:szCs w:val="21"/>
              </w:rPr>
              <w:t>；1.5倍行距，段前0，段后0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193" w:type="dxa"/>
          </w:tcPr>
          <w:p>
            <w:pPr>
              <w:adjustRightInd w:val="0"/>
              <w:spacing w:line="360" w:lineRule="auto"/>
              <w:jc w:val="center"/>
              <w:rPr>
                <w:szCs w:val="21"/>
              </w:rPr>
            </w:pPr>
            <w:r>
              <w:rPr>
                <w:rFonts w:hint="eastAsia"/>
                <w:szCs w:val="21"/>
              </w:rPr>
              <w:t>其他部分</w:t>
            </w:r>
          </w:p>
        </w:tc>
        <w:tc>
          <w:tcPr>
            <w:tcW w:w="1360" w:type="dxa"/>
          </w:tcPr>
          <w:p>
            <w:pPr>
              <w:adjustRightInd w:val="0"/>
              <w:spacing w:line="360" w:lineRule="auto"/>
              <w:jc w:val="center"/>
              <w:rPr>
                <w:szCs w:val="21"/>
              </w:rPr>
            </w:pPr>
            <w:r>
              <w:rPr>
                <w:rFonts w:hint="eastAsia"/>
                <w:szCs w:val="21"/>
              </w:rPr>
              <w:t>页眉页脚</w:t>
            </w:r>
          </w:p>
        </w:tc>
        <w:tc>
          <w:tcPr>
            <w:tcW w:w="6735" w:type="dxa"/>
            <w:vAlign w:val="center"/>
          </w:tcPr>
          <w:p>
            <w:pPr>
              <w:numPr>
                <w:ilvl w:val="0"/>
                <w:numId w:val="8"/>
              </w:numPr>
              <w:tabs>
                <w:tab w:val="left" w:pos="210"/>
              </w:tabs>
              <w:adjustRightInd w:val="0"/>
              <w:snapToGrid w:val="0"/>
              <w:ind w:left="3" w:hanging="3"/>
              <w:rPr>
                <w:szCs w:val="21"/>
              </w:rPr>
            </w:pPr>
            <w:r>
              <w:rPr>
                <w:rFonts w:hint="eastAsia"/>
                <w:szCs w:val="21"/>
              </w:rPr>
              <w:t>页眉文字：宋体，五号，居中；1.5倍行距，段前为0，段后为0。</w:t>
            </w:r>
          </w:p>
          <w:p>
            <w:pPr>
              <w:numPr>
                <w:ilvl w:val="0"/>
                <w:numId w:val="8"/>
              </w:numPr>
              <w:tabs>
                <w:tab w:val="left" w:pos="210"/>
              </w:tabs>
              <w:adjustRightInd w:val="0"/>
              <w:snapToGrid w:val="0"/>
              <w:ind w:left="3" w:hanging="3"/>
              <w:rPr>
                <w:szCs w:val="21"/>
              </w:rPr>
            </w:pPr>
            <w:r>
              <w:rPr>
                <w:rFonts w:hint="eastAsia"/>
                <w:szCs w:val="21"/>
              </w:rPr>
              <w:t>页脚数字：</w:t>
            </w:r>
            <w:r>
              <w:rPr>
                <w:szCs w:val="21"/>
              </w:rPr>
              <w:t>Times New Roman体，</w:t>
            </w:r>
            <w:r>
              <w:rPr>
                <w:rFonts w:hint="eastAsia"/>
                <w:szCs w:val="21"/>
              </w:rPr>
              <w:t>居中；1.5倍行距，段前为0，段后为0。</w:t>
            </w:r>
          </w:p>
        </w:tc>
      </w:tr>
    </w:tbl>
    <w:p/>
    <w:p>
      <w:pPr>
        <w:pStyle w:val="3"/>
        <w:numPr>
          <w:ilvl w:val="1"/>
          <w:numId w:val="0"/>
        </w:numPr>
        <w:ind w:left="420" w:leftChars="200"/>
        <w:rPr>
          <w:rFonts w:ascii="Times New Roman" w:hAnsi="Times New Roman" w:cs="Times New Roman"/>
        </w:rPr>
      </w:pPr>
      <w:r>
        <w:rPr>
          <w:rFonts w:ascii="Times New Roman" w:hAnsi="Times New Roman" w:cs="Times New Roman"/>
        </w:rPr>
        <w:t>四、</w:t>
      </w:r>
      <w:r>
        <w:rPr>
          <w:rFonts w:hint="eastAsia" w:ascii="Times New Roman" w:hAnsi="Times New Roman" w:cs="Times New Roman"/>
        </w:rPr>
        <w:t>书写要求</w:t>
      </w:r>
    </w:p>
    <w:p>
      <w:pPr>
        <w:pStyle w:val="4"/>
        <w:numPr>
          <w:ilvl w:val="2"/>
          <w:numId w:val="0"/>
        </w:numPr>
        <w:ind w:firstLine="400"/>
      </w:pPr>
      <w:r>
        <w:t>（一）正文中标题的样式和层级</w:t>
      </w:r>
    </w:p>
    <w:p>
      <w:pPr>
        <w:pStyle w:val="5"/>
        <w:ind w:firstLine="480"/>
        <w:rPr>
          <w:rFonts w:ascii="Times New Roman" w:hAnsi="Times New Roman"/>
        </w:rPr>
      </w:pPr>
      <w:r>
        <w:rPr>
          <w:rFonts w:ascii="Times New Roman" w:hAnsi="Times New Roman"/>
        </w:rPr>
        <w:t>正文的标题层级明晰，简明扼要。各学院可根据专业特点在以下两种样式中选择</w:t>
      </w:r>
      <w:r>
        <w:rPr>
          <w:rFonts w:hint="eastAsia" w:ascii="Times New Roman" w:hAnsi="Times New Roman"/>
        </w:rPr>
        <w:t>其一</w:t>
      </w:r>
      <w:r>
        <w:rPr>
          <w:rFonts w:ascii="Times New Roman" w:hAnsi="Times New Roman"/>
        </w:rPr>
        <w:t>，在学院统一或专业内统一。</w:t>
      </w:r>
    </w:p>
    <w:p>
      <w:pPr>
        <w:pStyle w:val="4"/>
        <w:numPr>
          <w:ilvl w:val="2"/>
          <w:numId w:val="0"/>
        </w:numPr>
        <w:jc w:val="center"/>
        <w:rPr>
          <w:b w:val="0"/>
          <w:bCs w:val="0"/>
        </w:rPr>
      </w:pPr>
      <w:r>
        <w:rPr>
          <w:b w:val="0"/>
          <w:bCs w:val="0"/>
        </w:rPr>
        <w:t>表2：正文标题的样式与层级</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4053"/>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1183" w:type="dxa"/>
            <w:vAlign w:val="center"/>
          </w:tcPr>
          <w:p>
            <w:pPr>
              <w:pStyle w:val="5"/>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标题层级</w:t>
            </w:r>
          </w:p>
          <w:p>
            <w:pPr>
              <w:pStyle w:val="5"/>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及设置</w:t>
            </w:r>
          </w:p>
        </w:tc>
        <w:tc>
          <w:tcPr>
            <w:tcW w:w="4053" w:type="dxa"/>
            <w:vAlign w:val="center"/>
          </w:tcPr>
          <w:p>
            <w:pPr>
              <w:pStyle w:val="5"/>
              <w:snapToGrid w:val="0"/>
              <w:spacing w:line="240" w:lineRule="auto"/>
              <w:ind w:firstLine="420"/>
              <w:jc w:val="center"/>
              <w:rPr>
                <w:rFonts w:ascii="Times New Roman" w:hAnsi="Times New Roman"/>
                <w:sz w:val="21"/>
                <w:szCs w:val="21"/>
              </w:rPr>
            </w:pPr>
            <w:r>
              <w:rPr>
                <w:rFonts w:hint="eastAsia" w:ascii="Times New Roman" w:hAnsi="Times New Roman"/>
                <w:sz w:val="21"/>
                <w:szCs w:val="21"/>
              </w:rPr>
              <w:t>样式一</w:t>
            </w:r>
          </w:p>
        </w:tc>
        <w:tc>
          <w:tcPr>
            <w:tcW w:w="4052" w:type="dxa"/>
            <w:vAlign w:val="center"/>
          </w:tcPr>
          <w:p>
            <w:pPr>
              <w:pStyle w:val="5"/>
              <w:snapToGrid w:val="0"/>
              <w:spacing w:line="240" w:lineRule="auto"/>
              <w:ind w:firstLine="420"/>
              <w:jc w:val="center"/>
              <w:rPr>
                <w:rFonts w:ascii="Times New Roman" w:hAnsi="Times New Roman"/>
                <w:sz w:val="21"/>
                <w:szCs w:val="21"/>
              </w:rPr>
            </w:pPr>
            <w:r>
              <w:rPr>
                <w:rFonts w:ascii="Times New Roman" w:hAnsi="Times New Roman"/>
                <w:sz w:val="21"/>
                <w:szCs w:val="21"/>
              </w:rPr>
              <w:t>样式二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183" w:type="dxa"/>
          </w:tcPr>
          <w:p>
            <w:pPr>
              <w:pStyle w:val="10"/>
              <w:snapToGrid w:val="0"/>
              <w:spacing w:before="93" w:beforeLines="3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五级标题</w:t>
            </w:r>
          </w:p>
          <w:p>
            <w:pPr>
              <w:pStyle w:val="5"/>
              <w:snapToGrid w:val="0"/>
              <w:spacing w:line="240" w:lineRule="auto"/>
              <w:ind w:firstLine="0" w:firstLineChars="0"/>
              <w:jc w:val="center"/>
              <w:rPr>
                <w:rFonts w:ascii="Times New Roman" w:hAnsi="Times New Roman"/>
                <w:sz w:val="21"/>
                <w:szCs w:val="21"/>
              </w:rPr>
            </w:pPr>
            <w:r>
              <w:rPr>
                <w:rFonts w:ascii="Times New Roman" w:hAnsi="Times New Roman"/>
                <w:sz w:val="21"/>
                <w:szCs w:val="21"/>
              </w:rPr>
              <w:t>样式举例</w:t>
            </w:r>
          </w:p>
        </w:tc>
        <w:tc>
          <w:tcPr>
            <w:tcW w:w="4053" w:type="dxa"/>
          </w:tcPr>
          <w:p>
            <w:pPr>
              <w:pStyle w:val="10"/>
              <w:snapToGrid w:val="0"/>
              <w:spacing w:before="93" w:beforeLines="30" w:beforeAutospacing="0" w:after="0" w:afterAutospacing="0"/>
              <w:rPr>
                <w:rFonts w:ascii="Times New Roman" w:hAnsi="Times New Roman" w:cs="Times New Roman"/>
                <w:sz w:val="21"/>
                <w:szCs w:val="21"/>
              </w:rPr>
            </w:pPr>
            <w:r>
              <w:rPr>
                <w:rFonts w:ascii="Times New Roman" w:hAnsi="Times New Roman" w:cs="Times New Roman"/>
                <w:sz w:val="21"/>
                <w:szCs w:val="21"/>
              </w:rPr>
              <w:t>一级标题：一、××××</w:t>
            </w:r>
          </w:p>
          <w:p>
            <w:pPr>
              <w:pStyle w:val="10"/>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二级标题：（一）××××</w:t>
            </w:r>
          </w:p>
          <w:p>
            <w:pPr>
              <w:pStyle w:val="10"/>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 xml:space="preserve">三级标题：1. ××××× </w:t>
            </w:r>
          </w:p>
          <w:p>
            <w:pPr>
              <w:pStyle w:val="10"/>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四级标题：（1）×××××</w:t>
            </w:r>
          </w:p>
          <w:p>
            <w:pPr>
              <w:pStyle w:val="1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五级标题：1）</w:t>
            </w:r>
            <w:r>
              <w:rPr>
                <w:rFonts w:ascii="Times New Roman" w:hAnsi="Times New Roman" w:cs="Times New Roman"/>
                <w:sz w:val="21"/>
                <w:szCs w:val="21"/>
              </w:rPr>
              <w:t>×××××</w:t>
            </w:r>
          </w:p>
        </w:tc>
        <w:tc>
          <w:tcPr>
            <w:tcW w:w="4052" w:type="dxa"/>
          </w:tcPr>
          <w:p>
            <w:pPr>
              <w:pStyle w:val="10"/>
              <w:snapToGrid w:val="0"/>
              <w:spacing w:before="93" w:beforeLines="30" w:beforeAutospacing="0" w:after="0" w:afterAutospacing="0"/>
              <w:rPr>
                <w:rFonts w:ascii="Times New Roman" w:hAnsi="Times New Roman" w:cs="Times New Roman"/>
                <w:sz w:val="21"/>
                <w:szCs w:val="21"/>
              </w:rPr>
            </w:pPr>
            <w:r>
              <w:rPr>
                <w:rFonts w:ascii="Times New Roman" w:hAnsi="Times New Roman" w:cs="Times New Roman"/>
                <w:sz w:val="21"/>
                <w:szCs w:val="21"/>
              </w:rPr>
              <w:t>一级标题：1.××××</w:t>
            </w:r>
          </w:p>
          <w:p>
            <w:pPr>
              <w:pStyle w:val="5"/>
              <w:snapToGrid w:val="0"/>
              <w:spacing w:line="240" w:lineRule="auto"/>
              <w:ind w:firstLine="0" w:firstLineChars="0"/>
              <w:rPr>
                <w:rFonts w:ascii="Times New Roman" w:hAnsi="Times New Roman"/>
                <w:sz w:val="21"/>
                <w:szCs w:val="21"/>
              </w:rPr>
            </w:pPr>
            <w:r>
              <w:rPr>
                <w:rFonts w:ascii="Times New Roman" w:hAnsi="Times New Roman"/>
                <w:sz w:val="21"/>
                <w:szCs w:val="21"/>
              </w:rPr>
              <w:t>二级标题：1.1××××</w:t>
            </w:r>
          </w:p>
          <w:p>
            <w:pPr>
              <w:pStyle w:val="5"/>
              <w:snapToGrid w:val="0"/>
              <w:spacing w:line="240" w:lineRule="auto"/>
              <w:ind w:firstLine="0" w:firstLineChars="0"/>
              <w:rPr>
                <w:rFonts w:ascii="Times New Roman" w:hAnsi="Times New Roman"/>
                <w:sz w:val="21"/>
                <w:szCs w:val="21"/>
              </w:rPr>
            </w:pPr>
            <w:r>
              <w:rPr>
                <w:rFonts w:ascii="Times New Roman" w:hAnsi="Times New Roman"/>
                <w:sz w:val="21"/>
                <w:szCs w:val="21"/>
              </w:rPr>
              <w:t>三级标题：1.1.1×××××</w:t>
            </w:r>
          </w:p>
          <w:p>
            <w:pPr>
              <w:pStyle w:val="10"/>
              <w:snapToGrid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四级标题：（1）×××××</w:t>
            </w:r>
          </w:p>
          <w:p>
            <w:pPr>
              <w:pStyle w:val="10"/>
              <w:snapToGrid w:val="0"/>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五级标题：1）</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83" w:type="dxa"/>
          </w:tcPr>
          <w:p>
            <w:pPr>
              <w:pStyle w:val="5"/>
              <w:snapToGrid w:val="0"/>
              <w:spacing w:before="312" w:beforeLines="100" w:line="240" w:lineRule="auto"/>
              <w:ind w:firstLine="0" w:firstLineChars="0"/>
              <w:jc w:val="center"/>
              <w:rPr>
                <w:rFonts w:ascii="Times New Roman" w:hAnsi="Times New Roman"/>
                <w:sz w:val="21"/>
                <w:szCs w:val="21"/>
              </w:rPr>
            </w:pPr>
            <w:r>
              <w:rPr>
                <w:rFonts w:hint="eastAsia" w:ascii="Times New Roman" w:hAnsi="Times New Roman"/>
                <w:sz w:val="21"/>
                <w:szCs w:val="21"/>
              </w:rPr>
              <w:t>备注</w:t>
            </w:r>
          </w:p>
        </w:tc>
        <w:tc>
          <w:tcPr>
            <w:tcW w:w="4053" w:type="dxa"/>
            <w:vAlign w:val="center"/>
          </w:tcPr>
          <w:p>
            <w:pPr>
              <w:numPr>
                <w:ilvl w:val="0"/>
                <w:numId w:val="8"/>
              </w:numPr>
              <w:tabs>
                <w:tab w:val="left" w:pos="210"/>
              </w:tabs>
              <w:adjustRightInd w:val="0"/>
              <w:snapToGrid w:val="0"/>
              <w:ind w:left="3" w:hanging="3"/>
              <w:rPr>
                <w:rFonts w:ascii="宋体" w:hAnsi="宋体"/>
                <w:szCs w:val="21"/>
              </w:rPr>
            </w:pPr>
            <w:r>
              <w:rPr>
                <w:rFonts w:hint="eastAsia" w:ascii="宋体" w:hAnsi="宋体"/>
                <w:szCs w:val="21"/>
              </w:rPr>
              <w:t>一级标题中，</w:t>
            </w:r>
            <w:r>
              <w:rPr>
                <w:rFonts w:ascii="宋体" w:hAnsi="宋体"/>
                <w:szCs w:val="21"/>
              </w:rPr>
              <w:t>中文大写数字后使用顿号“、”与其后的正文内容相连。</w:t>
            </w:r>
          </w:p>
        </w:tc>
        <w:tc>
          <w:tcPr>
            <w:tcW w:w="4052" w:type="dxa"/>
            <w:vAlign w:val="center"/>
          </w:tcPr>
          <w:p>
            <w:pPr>
              <w:numPr>
                <w:ilvl w:val="0"/>
                <w:numId w:val="8"/>
              </w:numPr>
              <w:tabs>
                <w:tab w:val="left" w:pos="210"/>
              </w:tabs>
              <w:adjustRightInd w:val="0"/>
              <w:snapToGrid w:val="0"/>
              <w:ind w:left="3" w:hanging="3"/>
              <w:rPr>
                <w:rFonts w:ascii="宋体" w:hAnsi="宋体"/>
                <w:szCs w:val="21"/>
              </w:rPr>
            </w:pPr>
            <w:r>
              <w:rPr>
                <w:rFonts w:hint="eastAsia" w:ascii="宋体" w:hAnsi="宋体"/>
                <w:szCs w:val="21"/>
              </w:rPr>
              <w:t>一级标题至三级标题中，</w:t>
            </w:r>
            <w:r>
              <w:rPr>
                <w:rFonts w:ascii="宋体" w:hAnsi="宋体"/>
                <w:szCs w:val="21"/>
              </w:rPr>
              <w:t>阿拉伯数字后使用</w:t>
            </w:r>
            <w:r>
              <w:rPr>
                <w:rFonts w:hint="eastAsia" w:ascii="宋体" w:hAnsi="宋体"/>
                <w:szCs w:val="21"/>
              </w:rPr>
              <w:t>半角的</w:t>
            </w:r>
            <w:r>
              <w:rPr>
                <w:rFonts w:ascii="宋体" w:hAnsi="宋体"/>
                <w:szCs w:val="21"/>
              </w:rPr>
              <w:t>“.”与其后的正文内容相连。</w:t>
            </w:r>
          </w:p>
        </w:tc>
      </w:tr>
    </w:tbl>
    <w:p>
      <w:pPr>
        <w:rPr>
          <w:bCs/>
        </w:rPr>
      </w:pPr>
    </w:p>
    <w:p>
      <w:pPr>
        <w:pStyle w:val="4"/>
        <w:numPr>
          <w:ilvl w:val="2"/>
          <w:numId w:val="0"/>
        </w:numPr>
        <w:ind w:left="400"/>
      </w:pPr>
      <w:r>
        <w:t>（二）注释</w:t>
      </w:r>
    </w:p>
    <w:p>
      <w:pPr>
        <w:adjustRightInd w:val="0"/>
        <w:spacing w:line="360" w:lineRule="auto"/>
        <w:ind w:firstLine="480" w:firstLineChars="200"/>
        <w:rPr>
          <w:sz w:val="24"/>
        </w:rPr>
      </w:pPr>
      <w:r>
        <w:rPr>
          <w:sz w:val="24"/>
        </w:rPr>
        <w:t>毕业论文中有个别名词或情况需要解释时，可加注说明。注释采用脚注的方式标注，以“①、②</w:t>
      </w:r>
      <w:r>
        <w:rPr>
          <w:rFonts w:hint="eastAsia"/>
          <w:sz w:val="24"/>
        </w:rPr>
        <w:t>……</w:t>
      </w:r>
      <w:r>
        <w:rPr>
          <w:sz w:val="24"/>
        </w:rPr>
        <w:t>”等数字形式标示在被注释词条的右上角，每页独立编号，不采用通篇毕业论文连续编号方式。</w:t>
      </w:r>
    </w:p>
    <w:p>
      <w:pPr>
        <w:pStyle w:val="4"/>
        <w:numPr>
          <w:ilvl w:val="2"/>
          <w:numId w:val="0"/>
        </w:numPr>
        <w:ind w:left="403"/>
      </w:pPr>
      <w:r>
        <w:t>（三）参考文献条目</w:t>
      </w:r>
    </w:p>
    <w:p>
      <w:pPr>
        <w:adjustRightInd w:val="0"/>
        <w:spacing w:line="360" w:lineRule="auto"/>
        <w:ind w:firstLine="420" w:firstLineChars="175"/>
        <w:rPr>
          <w:sz w:val="24"/>
        </w:rPr>
      </w:pPr>
      <w:r>
        <w:rPr>
          <w:sz w:val="24"/>
        </w:rPr>
        <w:t>参考文献按在正文中出现的先后次序列于文后。参考文献条目在“参考文献”标题后另起一行居左顶格；参考文献中的标点统一使用英文标点，每篇文献都应以英文句号结束。每篇参考文献条目应以阿拉伯数字标出其序号，并加上“[ ]”括号，若作者有两人以上，之间以半角逗号相隔，每一参考文献条目的最后均以</w:t>
      </w:r>
      <w:r>
        <w:rPr>
          <w:rFonts w:hint="eastAsia"/>
          <w:sz w:val="24"/>
        </w:rPr>
        <w:t>半角的</w:t>
      </w:r>
      <w:r>
        <w:rPr>
          <w:sz w:val="24"/>
        </w:rPr>
        <w:t>“.”结束</w:t>
      </w:r>
      <w:r>
        <w:rPr>
          <w:rFonts w:hint="eastAsia"/>
          <w:sz w:val="24"/>
        </w:rPr>
        <w:t>，</w:t>
      </w:r>
      <w:r>
        <w:rPr>
          <w:sz w:val="24"/>
        </w:rPr>
        <w:t>具体格式如下。</w:t>
      </w:r>
    </w:p>
    <w:p>
      <w:pPr>
        <w:adjustRightInd w:val="0"/>
        <w:spacing w:line="360" w:lineRule="auto"/>
        <w:ind w:firstLine="420" w:firstLineChars="175"/>
        <w:rPr>
          <w:sz w:val="24"/>
        </w:rPr>
      </w:pPr>
    </w:p>
    <w:p>
      <w:pPr>
        <w:pStyle w:val="4"/>
        <w:numPr>
          <w:ilvl w:val="2"/>
          <w:numId w:val="0"/>
        </w:numPr>
        <w:jc w:val="center"/>
        <w:rPr>
          <w:b w:val="0"/>
          <w:bCs w:val="0"/>
          <w:sz w:val="22"/>
          <w:szCs w:val="24"/>
        </w:rPr>
      </w:pPr>
      <w:r>
        <w:rPr>
          <w:b w:val="0"/>
          <w:bCs w:val="0"/>
          <w:sz w:val="22"/>
          <w:szCs w:val="24"/>
        </w:rPr>
        <w:t>表3：参考文献条目格式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90" w:type="dxa"/>
          </w:tcPr>
          <w:p>
            <w:pPr>
              <w:adjustRightInd w:val="0"/>
              <w:spacing w:line="360" w:lineRule="auto"/>
              <w:jc w:val="center"/>
              <w:rPr>
                <w:szCs w:val="21"/>
              </w:rPr>
            </w:pPr>
            <w:r>
              <w:rPr>
                <w:szCs w:val="21"/>
              </w:rPr>
              <w:t>文献类别</w:t>
            </w:r>
          </w:p>
        </w:tc>
        <w:tc>
          <w:tcPr>
            <w:tcW w:w="7798" w:type="dxa"/>
          </w:tcPr>
          <w:p>
            <w:pPr>
              <w:adjustRightInd w:val="0"/>
              <w:spacing w:line="360" w:lineRule="auto"/>
              <w:jc w:val="center"/>
              <w:rPr>
                <w:szCs w:val="21"/>
              </w:rPr>
            </w:pPr>
            <w:r>
              <w:rPr>
                <w:szCs w:val="21"/>
              </w:rPr>
              <w:t>文献条目格式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adjustRightInd w:val="0"/>
              <w:spacing w:line="360" w:lineRule="auto"/>
              <w:jc w:val="center"/>
              <w:rPr>
                <w:szCs w:val="21"/>
              </w:rPr>
            </w:pPr>
            <w:r>
              <w:rPr>
                <w:szCs w:val="21"/>
              </w:rPr>
              <w:t>学术著作类</w:t>
            </w:r>
          </w:p>
        </w:tc>
        <w:tc>
          <w:tcPr>
            <w:tcW w:w="7798" w:type="dxa"/>
          </w:tcPr>
          <w:p>
            <w:pPr>
              <w:adjustRightInd w:val="0"/>
              <w:spacing w:line="360" w:lineRule="auto"/>
              <w:rPr>
                <w:szCs w:val="21"/>
              </w:rPr>
            </w:pPr>
            <w:r>
              <w:rPr>
                <w:szCs w:val="21"/>
              </w:rPr>
              <w:t xml:space="preserve">[序号]作者.书名[M].版本（初版不写.翻译者.出版社,出版年份.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adjustRightInd w:val="0"/>
              <w:spacing w:line="360" w:lineRule="auto"/>
              <w:jc w:val="center"/>
              <w:rPr>
                <w:szCs w:val="21"/>
              </w:rPr>
            </w:pPr>
            <w:r>
              <w:rPr>
                <w:szCs w:val="21"/>
              </w:rPr>
              <w:t>学术期刊类</w:t>
            </w:r>
          </w:p>
        </w:tc>
        <w:tc>
          <w:tcPr>
            <w:tcW w:w="7798" w:type="dxa"/>
          </w:tcPr>
          <w:p>
            <w:pPr>
              <w:adjustRightInd w:val="0"/>
              <w:rPr>
                <w:szCs w:val="21"/>
              </w:rPr>
            </w:pPr>
            <w:r>
              <w:rPr>
                <w:szCs w:val="21"/>
              </w:rPr>
              <w:t xml:space="preserve">[序号]作者.篇名[J].刊名（外文刊名可按标准缩写并省略缩写点）,出版年份(期号):起止页码.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adjustRightInd w:val="0"/>
              <w:spacing w:line="360" w:lineRule="auto"/>
              <w:jc w:val="center"/>
              <w:rPr>
                <w:szCs w:val="21"/>
              </w:rPr>
            </w:pPr>
            <w:r>
              <w:rPr>
                <w:szCs w:val="21"/>
              </w:rPr>
              <w:t>论文集类</w:t>
            </w:r>
          </w:p>
        </w:tc>
        <w:tc>
          <w:tcPr>
            <w:tcW w:w="7798" w:type="dxa"/>
          </w:tcPr>
          <w:p>
            <w:pPr>
              <w:adjustRightInd w:val="0"/>
              <w:spacing w:line="360" w:lineRule="auto"/>
              <w:rPr>
                <w:szCs w:val="21"/>
              </w:rPr>
            </w:pPr>
            <w:r>
              <w:rPr>
                <w:szCs w:val="21"/>
              </w:rPr>
              <w:t>[序号]作者.篇名[A].论文集名[C],出版者,出版年份:起止页码．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adjustRightInd w:val="0"/>
              <w:spacing w:line="360" w:lineRule="auto"/>
              <w:jc w:val="center"/>
              <w:rPr>
                <w:szCs w:val="21"/>
              </w:rPr>
            </w:pPr>
            <w:r>
              <w:rPr>
                <w:szCs w:val="21"/>
              </w:rPr>
              <w:t>科技报告类</w:t>
            </w:r>
          </w:p>
        </w:tc>
        <w:tc>
          <w:tcPr>
            <w:tcW w:w="7798" w:type="dxa"/>
          </w:tcPr>
          <w:p>
            <w:pPr>
              <w:adjustRightInd w:val="0"/>
              <w:spacing w:line="360" w:lineRule="auto"/>
              <w:rPr>
                <w:szCs w:val="21"/>
              </w:rPr>
            </w:pPr>
            <w:r>
              <w:rPr>
                <w:szCs w:val="21"/>
              </w:rPr>
              <w:t>[序号]报告者.报告题目[R].报告地:报告会主办单位,报告年份.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adjustRightInd w:val="0"/>
              <w:spacing w:line="360" w:lineRule="auto"/>
              <w:jc w:val="center"/>
              <w:rPr>
                <w:szCs w:val="21"/>
              </w:rPr>
            </w:pPr>
            <w:r>
              <w:rPr>
                <w:szCs w:val="21"/>
              </w:rPr>
              <w:t>学位论文类</w:t>
            </w:r>
          </w:p>
        </w:tc>
        <w:tc>
          <w:tcPr>
            <w:tcW w:w="7798" w:type="dxa"/>
          </w:tcPr>
          <w:p>
            <w:pPr>
              <w:adjustRightInd w:val="0"/>
              <w:spacing w:line="360" w:lineRule="auto"/>
              <w:rPr>
                <w:szCs w:val="21"/>
              </w:rPr>
            </w:pPr>
            <w:r>
              <w:rPr>
                <w:szCs w:val="21"/>
              </w:rPr>
              <w:t>[序号]作者.论文名[D].博士（或硕士）学位论文.授予单位,授予年份．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adjustRightInd w:val="0"/>
              <w:spacing w:line="360" w:lineRule="auto"/>
              <w:jc w:val="center"/>
              <w:rPr>
                <w:szCs w:val="21"/>
              </w:rPr>
            </w:pPr>
            <w:r>
              <w:rPr>
                <w:szCs w:val="21"/>
              </w:rPr>
              <w:t>专利文献类</w:t>
            </w:r>
          </w:p>
        </w:tc>
        <w:tc>
          <w:tcPr>
            <w:tcW w:w="7798" w:type="dxa"/>
          </w:tcPr>
          <w:p>
            <w:pPr>
              <w:adjustRightInd w:val="0"/>
              <w:spacing w:line="360" w:lineRule="auto"/>
              <w:rPr>
                <w:szCs w:val="21"/>
              </w:rPr>
            </w:pPr>
            <w:r>
              <w:rPr>
                <w:szCs w:val="21"/>
              </w:rPr>
              <w:t>[序号]申请者.专利名[P].国别.专利号,授权日期.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adjustRightInd w:val="0"/>
              <w:spacing w:line="360" w:lineRule="auto"/>
              <w:jc w:val="center"/>
              <w:rPr>
                <w:szCs w:val="21"/>
              </w:rPr>
            </w:pPr>
            <w:r>
              <w:rPr>
                <w:szCs w:val="21"/>
              </w:rPr>
              <w:t>技术标准类</w:t>
            </w:r>
          </w:p>
        </w:tc>
        <w:tc>
          <w:tcPr>
            <w:tcW w:w="7798" w:type="dxa"/>
          </w:tcPr>
          <w:p>
            <w:pPr>
              <w:adjustRightInd w:val="0"/>
              <w:spacing w:line="360" w:lineRule="auto"/>
              <w:rPr>
                <w:szCs w:val="21"/>
              </w:rPr>
            </w:pPr>
            <w:r>
              <w:rPr>
                <w:szCs w:val="21"/>
              </w:rPr>
              <w:t xml:space="preserve">[序号]发布单位.技术标准代号.技术标准名称[S].出版者,出版日期．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adjustRightInd w:val="0"/>
              <w:spacing w:line="360" w:lineRule="auto"/>
              <w:jc w:val="center"/>
              <w:rPr>
                <w:szCs w:val="21"/>
              </w:rPr>
            </w:pPr>
            <w:r>
              <w:rPr>
                <w:szCs w:val="21"/>
              </w:rPr>
              <w:t>报纸文献类</w:t>
            </w:r>
          </w:p>
        </w:tc>
        <w:tc>
          <w:tcPr>
            <w:tcW w:w="7798" w:type="dxa"/>
          </w:tcPr>
          <w:p>
            <w:pPr>
              <w:adjustRightInd w:val="0"/>
              <w:spacing w:line="360" w:lineRule="auto"/>
              <w:rPr>
                <w:szCs w:val="21"/>
              </w:rPr>
            </w:pPr>
            <w:r>
              <w:rPr>
                <w:szCs w:val="21"/>
              </w:rPr>
              <w:t xml:space="preserve">[序号]作者.篇名[N].报纸名.出版日期（版面次序）．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tcPr>
          <w:p>
            <w:pPr>
              <w:adjustRightInd w:val="0"/>
              <w:spacing w:line="360" w:lineRule="auto"/>
              <w:jc w:val="center"/>
              <w:rPr>
                <w:szCs w:val="21"/>
              </w:rPr>
            </w:pPr>
            <w:r>
              <w:rPr>
                <w:szCs w:val="21"/>
              </w:rPr>
              <w:t>电子文献类</w:t>
            </w:r>
          </w:p>
        </w:tc>
        <w:tc>
          <w:tcPr>
            <w:tcW w:w="7798" w:type="dxa"/>
            <w:vAlign w:val="center"/>
          </w:tcPr>
          <w:p>
            <w:pPr>
              <w:adjustRightInd w:val="0"/>
              <w:snapToGrid w:val="0"/>
              <w:rPr>
                <w:szCs w:val="21"/>
              </w:rPr>
            </w:pPr>
            <w:r>
              <w:rPr>
                <w:szCs w:val="21"/>
              </w:rPr>
              <w:t>[序号]著者.文献题名.电子文献类型标示/载体类型标识.文献网址或出处,发表或引用日期．</w:t>
            </w:r>
          </w:p>
          <w:p>
            <w:pPr>
              <w:adjustRightInd w:val="0"/>
              <w:snapToGrid w:val="0"/>
              <w:rPr>
                <w:szCs w:val="21"/>
              </w:rPr>
            </w:pPr>
            <w:r>
              <w:rPr>
                <w:szCs w:val="21"/>
              </w:rPr>
              <w:t>电子参考文献建议标识：</w:t>
            </w:r>
          </w:p>
          <w:p>
            <w:pPr>
              <w:adjustRightInd w:val="0"/>
              <w:snapToGrid w:val="0"/>
              <w:rPr>
                <w:szCs w:val="21"/>
              </w:rPr>
            </w:pPr>
            <w:r>
              <w:rPr>
                <w:szCs w:val="21"/>
              </w:rPr>
              <w:t>［DB/OL］ ——联机网上数据库</w:t>
            </w:r>
          </w:p>
          <w:p>
            <w:pPr>
              <w:adjustRightInd w:val="0"/>
              <w:snapToGrid w:val="0"/>
              <w:rPr>
                <w:szCs w:val="21"/>
              </w:rPr>
            </w:pPr>
            <w:r>
              <w:rPr>
                <w:szCs w:val="21"/>
              </w:rPr>
              <w:t>［DB/MT］ ——磁带数据库</w:t>
            </w:r>
          </w:p>
          <w:p>
            <w:pPr>
              <w:adjustRightInd w:val="0"/>
              <w:snapToGrid w:val="0"/>
              <w:rPr>
                <w:szCs w:val="21"/>
              </w:rPr>
            </w:pPr>
            <w:r>
              <w:rPr>
                <w:szCs w:val="21"/>
              </w:rPr>
              <w:t>［M/CD］ ——光盘图书(monograph on CD-</w:t>
            </w:r>
          </w:p>
          <w:p>
            <w:pPr>
              <w:adjustRightInd w:val="0"/>
              <w:snapToGrid w:val="0"/>
              <w:rPr>
                <w:szCs w:val="21"/>
              </w:rPr>
            </w:pPr>
            <w:r>
              <w:rPr>
                <w:szCs w:val="21"/>
              </w:rPr>
              <w:t>［CP/DK］ ——磁盘软件</w:t>
            </w:r>
          </w:p>
          <w:p>
            <w:pPr>
              <w:adjustRightInd w:val="0"/>
              <w:snapToGrid w:val="0"/>
              <w:rPr>
                <w:szCs w:val="21"/>
              </w:rPr>
            </w:pPr>
            <w:r>
              <w:rPr>
                <w:szCs w:val="21"/>
              </w:rPr>
              <w:t>［J/OL］ ——网上期刊</w:t>
            </w:r>
          </w:p>
          <w:p>
            <w:pPr>
              <w:adjustRightInd w:val="0"/>
              <w:snapToGrid w:val="0"/>
              <w:rPr>
                <w:szCs w:val="21"/>
              </w:rPr>
            </w:pPr>
            <w:r>
              <w:rPr>
                <w:szCs w:val="21"/>
              </w:rPr>
              <w:t>［EB/OL］ ——网上电子公告(electronic bulletin board online)</w:t>
            </w:r>
          </w:p>
        </w:tc>
      </w:tr>
    </w:tbl>
    <w:p>
      <w:pPr>
        <w:pStyle w:val="4"/>
        <w:numPr>
          <w:ilvl w:val="2"/>
          <w:numId w:val="0"/>
        </w:numPr>
        <w:ind w:left="400"/>
      </w:pPr>
      <w:r>
        <w:t>（四）正文中的公式</w:t>
      </w:r>
    </w:p>
    <w:p>
      <w:pPr>
        <w:adjustRightInd w:val="0"/>
        <w:spacing w:line="360" w:lineRule="auto"/>
        <w:ind w:firstLine="480" w:firstLineChars="200"/>
        <w:rPr>
          <w:sz w:val="24"/>
        </w:rPr>
      </w:pPr>
      <w:r>
        <w:rPr>
          <w:rFonts w:hint="eastAsia"/>
          <w:sz w:val="24"/>
        </w:rPr>
        <w:t>毕业论文的</w:t>
      </w:r>
      <w:r>
        <w:rPr>
          <w:sz w:val="24"/>
        </w:rPr>
        <w:t>公式应在文中另起一行居中</w:t>
      </w:r>
      <w:r>
        <w:rPr>
          <w:rFonts w:hint="eastAsia"/>
          <w:sz w:val="24"/>
        </w:rPr>
        <w:t>，利用公式编辑功能进行编辑。</w:t>
      </w:r>
      <w:r>
        <w:rPr>
          <w:sz w:val="24"/>
        </w:rPr>
        <w:t>全式公式编号必须连续，不得重复或跳缺，公式的编号用圆括号括起来放在公式右边行末，编号形式为“(1)”。</w:t>
      </w:r>
    </w:p>
    <w:p>
      <w:pPr>
        <w:adjustRightInd w:val="0"/>
        <w:spacing w:line="360" w:lineRule="auto"/>
        <w:ind w:firstLine="480" w:firstLineChars="200"/>
        <w:rPr>
          <w:sz w:val="24"/>
        </w:rPr>
      </w:pPr>
      <w:r>
        <w:rPr>
          <w:sz w:val="24"/>
        </w:rPr>
        <w:t>文中引用公式时，不得另编新序号，采用“见公式(1)”表述。在公式和编号之间不加虚线，公式较长时应在“＝”前转行或在“＋、－、×、÷”运算符号处转行，等号或运算符号应在转行后的行首。</w:t>
      </w:r>
    </w:p>
    <w:p>
      <w:pPr>
        <w:pStyle w:val="4"/>
        <w:numPr>
          <w:ilvl w:val="2"/>
          <w:numId w:val="0"/>
        </w:numPr>
        <w:ind w:left="420" w:leftChars="200"/>
      </w:pPr>
      <w:r>
        <w:t>（</w:t>
      </w:r>
      <w:r>
        <w:rPr>
          <w:rFonts w:hint="eastAsia"/>
        </w:rPr>
        <w:t>五</w:t>
      </w:r>
      <w:r>
        <w:t>）正文中的数字、标点符号和计量单位</w:t>
      </w:r>
    </w:p>
    <w:p>
      <w:pPr>
        <w:adjustRightInd w:val="0"/>
        <w:spacing w:line="360" w:lineRule="auto"/>
        <w:ind w:firstLine="480" w:firstLineChars="200"/>
        <w:rPr>
          <w:sz w:val="24"/>
        </w:rPr>
      </w:pPr>
      <w:r>
        <w:rPr>
          <w:rFonts w:hint="eastAsia"/>
          <w:sz w:val="24"/>
        </w:rPr>
        <w:t>1、正文中的数字</w:t>
      </w:r>
    </w:p>
    <w:p>
      <w:pPr>
        <w:adjustRightInd w:val="0"/>
        <w:spacing w:line="360" w:lineRule="auto"/>
        <w:ind w:firstLine="480" w:firstLineChars="200"/>
        <w:rPr>
          <w:sz w:val="24"/>
        </w:rPr>
      </w:pPr>
      <w:r>
        <w:rPr>
          <w:sz w:val="24"/>
        </w:rPr>
        <w:t>文中的数字，除部分结构层次序数词、词组、惯用词、缩略语、具有修辞色彩语句中作为词素的数字、模糊数字必须使用汉字外，其他应使用阿拉伯数字。同一文中，数字的表示方法应前后一致。</w:t>
      </w:r>
    </w:p>
    <w:p>
      <w:pPr>
        <w:adjustRightInd w:val="0"/>
        <w:spacing w:line="360" w:lineRule="auto"/>
        <w:ind w:firstLine="480" w:firstLineChars="200"/>
        <w:rPr>
          <w:sz w:val="24"/>
        </w:rPr>
      </w:pPr>
      <w:r>
        <w:rPr>
          <w:rFonts w:hint="eastAsia"/>
          <w:sz w:val="24"/>
        </w:rPr>
        <w:t>2、</w:t>
      </w:r>
      <w:r>
        <w:rPr>
          <w:sz w:val="24"/>
        </w:rPr>
        <w:t>正文中的标点符号</w:t>
      </w:r>
    </w:p>
    <w:p>
      <w:pPr>
        <w:adjustRightInd w:val="0"/>
        <w:spacing w:line="360" w:lineRule="auto"/>
        <w:ind w:firstLine="480" w:firstLineChars="200"/>
        <w:rPr>
          <w:sz w:val="24"/>
        </w:rPr>
      </w:pPr>
      <w:r>
        <w:rPr>
          <w:sz w:val="24"/>
        </w:rPr>
        <w:t>文中的标点符号应正确使用，忌误用、混用，中英文标点符号应区分开。</w:t>
      </w:r>
    </w:p>
    <w:p>
      <w:pPr>
        <w:adjustRightInd w:val="0"/>
        <w:spacing w:line="360" w:lineRule="auto"/>
        <w:ind w:firstLine="480" w:firstLineChars="200"/>
        <w:rPr>
          <w:sz w:val="24"/>
        </w:rPr>
      </w:pPr>
      <w:r>
        <w:rPr>
          <w:rFonts w:hint="eastAsia"/>
          <w:sz w:val="24"/>
        </w:rPr>
        <w:t>3、</w:t>
      </w:r>
      <w:r>
        <w:rPr>
          <w:sz w:val="24"/>
        </w:rPr>
        <w:t>正文中的计量单位</w:t>
      </w:r>
    </w:p>
    <w:p>
      <w:pPr>
        <w:adjustRightInd w:val="0"/>
        <w:spacing w:line="360" w:lineRule="auto"/>
        <w:ind w:firstLine="480" w:firstLineChars="200"/>
        <w:rPr>
          <w:sz w:val="24"/>
        </w:rPr>
      </w:pPr>
      <w:r>
        <w:rPr>
          <w:sz w:val="24"/>
        </w:rPr>
        <w:t>除特殊需要，毕业论文中的计量单位应使用法定计量单位。</w:t>
      </w:r>
    </w:p>
    <w:p>
      <w:pPr>
        <w:pStyle w:val="3"/>
        <w:numPr>
          <w:ilvl w:val="1"/>
          <w:numId w:val="0"/>
        </w:numPr>
        <w:ind w:left="420" w:leftChars="200"/>
        <w:rPr>
          <w:rFonts w:ascii="Times New Roman" w:hAnsi="Times New Roman" w:cs="Times New Roman"/>
        </w:rPr>
      </w:pPr>
      <w:r>
        <w:rPr>
          <w:rFonts w:ascii="Times New Roman" w:hAnsi="Times New Roman" w:cs="Times New Roman"/>
        </w:rPr>
        <w:t>五、毕业论文的装订与归档规范</w:t>
      </w:r>
    </w:p>
    <w:p>
      <w:pPr>
        <w:pStyle w:val="4"/>
        <w:numPr>
          <w:ilvl w:val="2"/>
          <w:numId w:val="0"/>
        </w:numPr>
        <w:ind w:firstLine="643" w:firstLineChars="200"/>
      </w:pPr>
      <w:r>
        <w:t>（一）印刷装订</w:t>
      </w:r>
    </w:p>
    <w:p>
      <w:pPr>
        <w:adjustRightInd w:val="0"/>
        <w:spacing w:line="360" w:lineRule="auto"/>
        <w:ind w:firstLine="480" w:firstLineChars="200"/>
        <w:rPr>
          <w:sz w:val="24"/>
        </w:rPr>
      </w:pPr>
      <w:r>
        <w:rPr>
          <w:sz w:val="24"/>
        </w:rPr>
        <w:t>定稿论文一律用A4纸打印，单面印刷。文稿一律左侧装订。定稿毕业论文至少应打印并装订一式两份，其中一份由学院存档。</w:t>
      </w:r>
    </w:p>
    <w:p>
      <w:pPr>
        <w:adjustRightInd w:val="0"/>
        <w:spacing w:line="360" w:lineRule="auto"/>
        <w:ind w:firstLine="480" w:firstLineChars="200"/>
        <w:rPr>
          <w:sz w:val="24"/>
        </w:rPr>
      </w:pPr>
      <w:r>
        <w:rPr>
          <w:sz w:val="24"/>
        </w:rPr>
        <w:t>毕业论文按以下顺序装订：封面→中英文摘要</w:t>
      </w:r>
      <w:r>
        <w:rPr>
          <w:rFonts w:hint="eastAsia"/>
          <w:sz w:val="24"/>
        </w:rPr>
        <w:t>和</w:t>
      </w:r>
      <w:r>
        <w:rPr>
          <w:sz w:val="24"/>
        </w:rPr>
        <w:t>关键词→目录→正文→参考文献→附录</w:t>
      </w:r>
      <w:r>
        <w:rPr>
          <w:rFonts w:hint="eastAsia"/>
          <w:sz w:val="24"/>
        </w:rPr>
        <w:t>（如有）</w:t>
      </w:r>
      <w:r>
        <w:rPr>
          <w:sz w:val="24"/>
        </w:rPr>
        <w:t>→致谢。</w:t>
      </w:r>
    </w:p>
    <w:p>
      <w:pPr>
        <w:pStyle w:val="4"/>
        <w:numPr>
          <w:ilvl w:val="2"/>
          <w:numId w:val="0"/>
        </w:numPr>
        <w:ind w:firstLine="643" w:firstLineChars="200"/>
      </w:pPr>
      <w:r>
        <w:t>（二）归档</w:t>
      </w:r>
    </w:p>
    <w:p>
      <w:pPr>
        <w:adjustRightInd w:val="0"/>
        <w:spacing w:line="360" w:lineRule="auto"/>
        <w:ind w:firstLine="480" w:firstLineChars="200"/>
        <w:rPr>
          <w:sz w:val="24"/>
        </w:rPr>
      </w:pPr>
      <w:r>
        <w:rPr>
          <w:sz w:val="24"/>
        </w:rPr>
        <w:t>每个学生毕业论文文档，包括论文正本、开题报告、</w:t>
      </w:r>
      <w:r>
        <w:rPr>
          <w:rFonts w:hint="eastAsia"/>
          <w:sz w:val="24"/>
        </w:rPr>
        <w:t>中期进展情况检查表、毕业论文成绩评定表（A表和B表）、</w:t>
      </w:r>
      <w:r>
        <w:rPr>
          <w:sz w:val="24"/>
        </w:rPr>
        <w:t>答辩记录</w:t>
      </w:r>
      <w:r>
        <w:rPr>
          <w:rFonts w:hint="eastAsia"/>
          <w:sz w:val="24"/>
        </w:rPr>
        <w:t>表、毕业论文指导记录表</w:t>
      </w:r>
      <w:r>
        <w:rPr>
          <w:sz w:val="24"/>
        </w:rPr>
        <w:t>等，装入档案袋，由各学院统一归档保管。手写部分一律用黑</w:t>
      </w:r>
      <w:r>
        <w:rPr>
          <w:rFonts w:hint="eastAsia"/>
          <w:sz w:val="24"/>
        </w:rPr>
        <w:t>色水笔</w:t>
      </w:r>
      <w:r>
        <w:rPr>
          <w:sz w:val="24"/>
        </w:rPr>
        <w:t>书写，字迹要工整，卷面要整洁。</w:t>
      </w: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DE22D"/>
    <w:multiLevelType w:val="singleLevel"/>
    <w:tmpl w:val="5A2DE22D"/>
    <w:lvl w:ilvl="0" w:tentative="0">
      <w:start w:val="1"/>
      <w:numFmt w:val="chineseCounting"/>
      <w:suff w:val="nothing"/>
      <w:lvlText w:val="第%1条  "/>
      <w:lvlJc w:val="left"/>
      <w:pPr>
        <w:tabs>
          <w:tab w:val="left" w:pos="0"/>
        </w:tabs>
        <w:ind w:left="0" w:firstLine="420"/>
      </w:pPr>
      <w:rPr>
        <w:rFonts w:hint="eastAsia" w:ascii="宋体" w:hAnsi="宋体" w:eastAsia="宋体" w:cs="宋体"/>
        <w:color w:val="auto"/>
        <w:lang w:val="zh-CN"/>
      </w:rPr>
    </w:lvl>
  </w:abstractNum>
  <w:abstractNum w:abstractNumId="1">
    <w:nsid w:val="5A2DEFA4"/>
    <w:multiLevelType w:val="singleLevel"/>
    <w:tmpl w:val="5A2DEFA4"/>
    <w:lvl w:ilvl="0" w:tentative="0">
      <w:start w:val="1"/>
      <w:numFmt w:val="chineseCounting"/>
      <w:suff w:val="nothing"/>
      <w:lvlText w:val="（%1）"/>
      <w:lvlJc w:val="left"/>
      <w:pPr>
        <w:ind w:left="0" w:firstLine="420"/>
      </w:pPr>
    </w:lvl>
  </w:abstractNum>
  <w:abstractNum w:abstractNumId="2">
    <w:nsid w:val="5A2DF426"/>
    <w:multiLevelType w:val="singleLevel"/>
    <w:tmpl w:val="5A2DF426"/>
    <w:lvl w:ilvl="0" w:tentative="0">
      <w:start w:val="1"/>
      <w:numFmt w:val="chineseCounting"/>
      <w:suff w:val="nothing"/>
      <w:lvlText w:val="（%1）"/>
      <w:lvlJc w:val="left"/>
      <w:pPr>
        <w:ind w:left="0" w:firstLine="420"/>
      </w:pPr>
    </w:lvl>
  </w:abstractNum>
  <w:abstractNum w:abstractNumId="3">
    <w:nsid w:val="5A2DF714"/>
    <w:multiLevelType w:val="singleLevel"/>
    <w:tmpl w:val="5A2DF714"/>
    <w:lvl w:ilvl="0" w:tentative="0">
      <w:start w:val="1"/>
      <w:numFmt w:val="chineseCounting"/>
      <w:suff w:val="nothing"/>
      <w:lvlText w:val="（%1）"/>
      <w:lvlJc w:val="left"/>
      <w:pPr>
        <w:ind w:left="0" w:firstLine="420"/>
      </w:pPr>
    </w:lvl>
  </w:abstractNum>
  <w:abstractNum w:abstractNumId="4">
    <w:nsid w:val="5A2E5514"/>
    <w:multiLevelType w:val="singleLevel"/>
    <w:tmpl w:val="5A2E5514"/>
    <w:lvl w:ilvl="0" w:tentative="0">
      <w:start w:val="1"/>
      <w:numFmt w:val="chineseCounting"/>
      <w:suff w:val="nothing"/>
      <w:lvlText w:val="（%1）"/>
      <w:lvlJc w:val="left"/>
      <w:pPr>
        <w:ind w:left="0" w:firstLine="420"/>
      </w:pPr>
    </w:lvl>
  </w:abstractNum>
  <w:abstractNum w:abstractNumId="5">
    <w:nsid w:val="5A33CE00"/>
    <w:multiLevelType w:val="singleLevel"/>
    <w:tmpl w:val="5A33CE00"/>
    <w:lvl w:ilvl="0" w:tentative="0">
      <w:start w:val="1"/>
      <w:numFmt w:val="chineseCounting"/>
      <w:suff w:val="nothing"/>
      <w:lvlText w:val="（%1）"/>
      <w:lvlJc w:val="left"/>
      <w:pPr>
        <w:ind w:left="0" w:firstLine="420"/>
      </w:pPr>
      <w:rPr>
        <w:rFonts w:hint="eastAsia"/>
      </w:rPr>
    </w:lvl>
  </w:abstractNum>
  <w:abstractNum w:abstractNumId="6">
    <w:nsid w:val="5A33DA5A"/>
    <w:multiLevelType w:val="singleLevel"/>
    <w:tmpl w:val="5A33DA5A"/>
    <w:lvl w:ilvl="0" w:tentative="0">
      <w:start w:val="1"/>
      <w:numFmt w:val="decimal"/>
      <w:lvlText w:val="%1."/>
      <w:lvlJc w:val="left"/>
      <w:pPr>
        <w:ind w:left="425" w:hanging="425"/>
      </w:pPr>
      <w:rPr>
        <w:rFonts w:hint="default"/>
      </w:rPr>
    </w:lvl>
  </w:abstractNum>
  <w:abstractNum w:abstractNumId="7">
    <w:nsid w:val="5A347063"/>
    <w:multiLevelType w:val="singleLevel"/>
    <w:tmpl w:val="5A347063"/>
    <w:lvl w:ilvl="0" w:tentative="0">
      <w:start w:val="1"/>
      <w:numFmt w:val="bullet"/>
      <w:lvlText w:val="▪"/>
      <w:lvlJc w:val="left"/>
      <w:pPr>
        <w:ind w:left="420" w:hanging="420"/>
      </w:pPr>
      <w:rPr>
        <w:rFonts w:hint="default" w:ascii="微软雅黑" w:hAnsi="微软雅黑" w:eastAsia="微软雅黑" w:cs="微软雅黑"/>
      </w:r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 w:numId="5">
    <w:abstractNumId w:val="4"/>
    <w:lvlOverride w:ilvl="0">
      <w:startOverride w:val="1"/>
    </w:lvlOverride>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5546"/>
    <w:rsid w:val="000049F0"/>
    <w:rsid w:val="000065A8"/>
    <w:rsid w:val="00012DF9"/>
    <w:rsid w:val="0002161E"/>
    <w:rsid w:val="000322D9"/>
    <w:rsid w:val="000405F8"/>
    <w:rsid w:val="000441E9"/>
    <w:rsid w:val="00050F04"/>
    <w:rsid w:val="000517AB"/>
    <w:rsid w:val="00055556"/>
    <w:rsid w:val="00070EAE"/>
    <w:rsid w:val="00081044"/>
    <w:rsid w:val="00081930"/>
    <w:rsid w:val="00096677"/>
    <w:rsid w:val="000A61F7"/>
    <w:rsid w:val="000B33C9"/>
    <w:rsid w:val="000C7540"/>
    <w:rsid w:val="000E20A1"/>
    <w:rsid w:val="000E7A68"/>
    <w:rsid w:val="000F7DA9"/>
    <w:rsid w:val="0010120F"/>
    <w:rsid w:val="00101732"/>
    <w:rsid w:val="00105A04"/>
    <w:rsid w:val="001242D7"/>
    <w:rsid w:val="00125DED"/>
    <w:rsid w:val="00136A0D"/>
    <w:rsid w:val="00165F92"/>
    <w:rsid w:val="00166E9E"/>
    <w:rsid w:val="00166EE1"/>
    <w:rsid w:val="00167B0B"/>
    <w:rsid w:val="001705A1"/>
    <w:rsid w:val="00173B70"/>
    <w:rsid w:val="00175EB0"/>
    <w:rsid w:val="001A035F"/>
    <w:rsid w:val="001A1A65"/>
    <w:rsid w:val="001A72A1"/>
    <w:rsid w:val="001B7C35"/>
    <w:rsid w:val="001C3F64"/>
    <w:rsid w:val="001D56AC"/>
    <w:rsid w:val="001E1D46"/>
    <w:rsid w:val="001E4727"/>
    <w:rsid w:val="0020308A"/>
    <w:rsid w:val="00217A3E"/>
    <w:rsid w:val="00234264"/>
    <w:rsid w:val="00234D4D"/>
    <w:rsid w:val="00240026"/>
    <w:rsid w:val="0024176E"/>
    <w:rsid w:val="002432EA"/>
    <w:rsid w:val="00250AB8"/>
    <w:rsid w:val="00257BBD"/>
    <w:rsid w:val="0027064F"/>
    <w:rsid w:val="00276615"/>
    <w:rsid w:val="002823EF"/>
    <w:rsid w:val="00286B40"/>
    <w:rsid w:val="00286D01"/>
    <w:rsid w:val="00287458"/>
    <w:rsid w:val="002B04A7"/>
    <w:rsid w:val="002C0324"/>
    <w:rsid w:val="002D2E5A"/>
    <w:rsid w:val="002E27FD"/>
    <w:rsid w:val="002F4D91"/>
    <w:rsid w:val="002F6197"/>
    <w:rsid w:val="002F755B"/>
    <w:rsid w:val="00300186"/>
    <w:rsid w:val="00320E12"/>
    <w:rsid w:val="00337D1A"/>
    <w:rsid w:val="00355509"/>
    <w:rsid w:val="0036369E"/>
    <w:rsid w:val="00363D89"/>
    <w:rsid w:val="00370653"/>
    <w:rsid w:val="003979A0"/>
    <w:rsid w:val="003A2B64"/>
    <w:rsid w:val="003B3FE4"/>
    <w:rsid w:val="003D2684"/>
    <w:rsid w:val="003D4D8E"/>
    <w:rsid w:val="003D68B5"/>
    <w:rsid w:val="003F6F48"/>
    <w:rsid w:val="0040211C"/>
    <w:rsid w:val="00412FEE"/>
    <w:rsid w:val="00415546"/>
    <w:rsid w:val="00427274"/>
    <w:rsid w:val="0043408A"/>
    <w:rsid w:val="00444150"/>
    <w:rsid w:val="004459B8"/>
    <w:rsid w:val="00447B6E"/>
    <w:rsid w:val="0046260E"/>
    <w:rsid w:val="00464336"/>
    <w:rsid w:val="00471A33"/>
    <w:rsid w:val="00472408"/>
    <w:rsid w:val="00474290"/>
    <w:rsid w:val="00481774"/>
    <w:rsid w:val="004973E4"/>
    <w:rsid w:val="004B5A22"/>
    <w:rsid w:val="004C4749"/>
    <w:rsid w:val="004C53B7"/>
    <w:rsid w:val="004C6BD4"/>
    <w:rsid w:val="004F1BA7"/>
    <w:rsid w:val="004F3D92"/>
    <w:rsid w:val="00501CD8"/>
    <w:rsid w:val="005270FC"/>
    <w:rsid w:val="00533BD2"/>
    <w:rsid w:val="00546F96"/>
    <w:rsid w:val="005528CB"/>
    <w:rsid w:val="00560ECB"/>
    <w:rsid w:val="00561C7D"/>
    <w:rsid w:val="00585E9A"/>
    <w:rsid w:val="00595BDB"/>
    <w:rsid w:val="0059672F"/>
    <w:rsid w:val="005C061C"/>
    <w:rsid w:val="005C51E6"/>
    <w:rsid w:val="005D4081"/>
    <w:rsid w:val="005E1ECA"/>
    <w:rsid w:val="005E3653"/>
    <w:rsid w:val="005E4AF2"/>
    <w:rsid w:val="005E65A0"/>
    <w:rsid w:val="005F32AA"/>
    <w:rsid w:val="005F55CB"/>
    <w:rsid w:val="00611E55"/>
    <w:rsid w:val="00620DFE"/>
    <w:rsid w:val="0062187E"/>
    <w:rsid w:val="0063601C"/>
    <w:rsid w:val="00640ACF"/>
    <w:rsid w:val="00645E4E"/>
    <w:rsid w:val="00656C43"/>
    <w:rsid w:val="00666CE1"/>
    <w:rsid w:val="00693606"/>
    <w:rsid w:val="00693905"/>
    <w:rsid w:val="006A2504"/>
    <w:rsid w:val="006A6C1C"/>
    <w:rsid w:val="006B4B02"/>
    <w:rsid w:val="006B5A04"/>
    <w:rsid w:val="006C0772"/>
    <w:rsid w:val="006C4A8B"/>
    <w:rsid w:val="006C65F7"/>
    <w:rsid w:val="006D2230"/>
    <w:rsid w:val="0070681E"/>
    <w:rsid w:val="00707D38"/>
    <w:rsid w:val="00712602"/>
    <w:rsid w:val="007237F5"/>
    <w:rsid w:val="00741BAD"/>
    <w:rsid w:val="0074302D"/>
    <w:rsid w:val="0074759F"/>
    <w:rsid w:val="007603CD"/>
    <w:rsid w:val="00785556"/>
    <w:rsid w:val="007A6AB6"/>
    <w:rsid w:val="007C48E9"/>
    <w:rsid w:val="007D10BC"/>
    <w:rsid w:val="007E204B"/>
    <w:rsid w:val="00802122"/>
    <w:rsid w:val="00824E6D"/>
    <w:rsid w:val="0082550F"/>
    <w:rsid w:val="00825C3C"/>
    <w:rsid w:val="008329EF"/>
    <w:rsid w:val="0083754B"/>
    <w:rsid w:val="00893549"/>
    <w:rsid w:val="00897685"/>
    <w:rsid w:val="008A7B58"/>
    <w:rsid w:val="008C3713"/>
    <w:rsid w:val="008C48EE"/>
    <w:rsid w:val="008D3210"/>
    <w:rsid w:val="008F4643"/>
    <w:rsid w:val="008F57FB"/>
    <w:rsid w:val="0090018B"/>
    <w:rsid w:val="00904147"/>
    <w:rsid w:val="00906933"/>
    <w:rsid w:val="00914F51"/>
    <w:rsid w:val="00927475"/>
    <w:rsid w:val="00927E41"/>
    <w:rsid w:val="00933BD6"/>
    <w:rsid w:val="0095497A"/>
    <w:rsid w:val="00957D99"/>
    <w:rsid w:val="00977ECC"/>
    <w:rsid w:val="00985485"/>
    <w:rsid w:val="00992E6D"/>
    <w:rsid w:val="009953EA"/>
    <w:rsid w:val="009C1484"/>
    <w:rsid w:val="009D450E"/>
    <w:rsid w:val="009D47BD"/>
    <w:rsid w:val="009D673C"/>
    <w:rsid w:val="009E31A3"/>
    <w:rsid w:val="009F4B64"/>
    <w:rsid w:val="00A16D69"/>
    <w:rsid w:val="00A2728C"/>
    <w:rsid w:val="00A507A7"/>
    <w:rsid w:val="00A57115"/>
    <w:rsid w:val="00A75FA7"/>
    <w:rsid w:val="00A9592E"/>
    <w:rsid w:val="00AA18C5"/>
    <w:rsid w:val="00AA5D66"/>
    <w:rsid w:val="00AB3158"/>
    <w:rsid w:val="00AB5A2E"/>
    <w:rsid w:val="00AE0550"/>
    <w:rsid w:val="00AE6EF0"/>
    <w:rsid w:val="00B06DB4"/>
    <w:rsid w:val="00B1222D"/>
    <w:rsid w:val="00B21B52"/>
    <w:rsid w:val="00B27D70"/>
    <w:rsid w:val="00B315BB"/>
    <w:rsid w:val="00B32DE9"/>
    <w:rsid w:val="00B33BAA"/>
    <w:rsid w:val="00B523F0"/>
    <w:rsid w:val="00B53916"/>
    <w:rsid w:val="00B677AE"/>
    <w:rsid w:val="00B67CEC"/>
    <w:rsid w:val="00B92C16"/>
    <w:rsid w:val="00B96838"/>
    <w:rsid w:val="00BA02BA"/>
    <w:rsid w:val="00BA147F"/>
    <w:rsid w:val="00BC2D60"/>
    <w:rsid w:val="00BD3F34"/>
    <w:rsid w:val="00BD7E0A"/>
    <w:rsid w:val="00BE0CFE"/>
    <w:rsid w:val="00BE147C"/>
    <w:rsid w:val="00BE4406"/>
    <w:rsid w:val="00BF1AE5"/>
    <w:rsid w:val="00BF2397"/>
    <w:rsid w:val="00BF2E4B"/>
    <w:rsid w:val="00BF3D22"/>
    <w:rsid w:val="00C0740F"/>
    <w:rsid w:val="00C07858"/>
    <w:rsid w:val="00C42149"/>
    <w:rsid w:val="00C556B5"/>
    <w:rsid w:val="00C72A1A"/>
    <w:rsid w:val="00C7470D"/>
    <w:rsid w:val="00C7538D"/>
    <w:rsid w:val="00CA36B3"/>
    <w:rsid w:val="00CA4DA4"/>
    <w:rsid w:val="00CA70E7"/>
    <w:rsid w:val="00CB049A"/>
    <w:rsid w:val="00CC0E25"/>
    <w:rsid w:val="00CD03CB"/>
    <w:rsid w:val="00CD788A"/>
    <w:rsid w:val="00CF4383"/>
    <w:rsid w:val="00D01D69"/>
    <w:rsid w:val="00D06D80"/>
    <w:rsid w:val="00D074A0"/>
    <w:rsid w:val="00D37C82"/>
    <w:rsid w:val="00D5656E"/>
    <w:rsid w:val="00D67F29"/>
    <w:rsid w:val="00DA354F"/>
    <w:rsid w:val="00DA4004"/>
    <w:rsid w:val="00DA52E2"/>
    <w:rsid w:val="00DB72D5"/>
    <w:rsid w:val="00DC23EE"/>
    <w:rsid w:val="00DC26DB"/>
    <w:rsid w:val="00DF711F"/>
    <w:rsid w:val="00E0225B"/>
    <w:rsid w:val="00E26520"/>
    <w:rsid w:val="00E269B5"/>
    <w:rsid w:val="00E26C63"/>
    <w:rsid w:val="00E27CF4"/>
    <w:rsid w:val="00E5299A"/>
    <w:rsid w:val="00EA25A6"/>
    <w:rsid w:val="00EC11D0"/>
    <w:rsid w:val="00EE4C71"/>
    <w:rsid w:val="00F04F35"/>
    <w:rsid w:val="00F0779E"/>
    <w:rsid w:val="00F17AA8"/>
    <w:rsid w:val="00F33E9D"/>
    <w:rsid w:val="00F36DB2"/>
    <w:rsid w:val="00F456DA"/>
    <w:rsid w:val="00F661E6"/>
    <w:rsid w:val="00F70CC9"/>
    <w:rsid w:val="00F77655"/>
    <w:rsid w:val="00F80549"/>
    <w:rsid w:val="00F81FDD"/>
    <w:rsid w:val="00F910C2"/>
    <w:rsid w:val="00F92585"/>
    <w:rsid w:val="00F92D35"/>
    <w:rsid w:val="00FB026A"/>
    <w:rsid w:val="00FB0E69"/>
    <w:rsid w:val="00FB4BAE"/>
    <w:rsid w:val="00FC346D"/>
    <w:rsid w:val="00FD5511"/>
    <w:rsid w:val="00FE1057"/>
    <w:rsid w:val="00FE1B4B"/>
    <w:rsid w:val="00FE4919"/>
    <w:rsid w:val="3D3220A7"/>
    <w:rsid w:val="4DA4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180" w:after="180" w:line="360" w:lineRule="auto"/>
      <w:jc w:val="center"/>
      <w:outlineLvl w:val="0"/>
    </w:pPr>
    <w:rPr>
      <w:rFonts w:ascii="Calibri" w:hAnsi="Calibri"/>
      <w:b/>
      <w:bCs/>
      <w:kern w:val="44"/>
      <w:sz w:val="30"/>
      <w:szCs w:val="44"/>
      <w:lang w:val="zh-CN"/>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16"/>
    <w:unhideWhenUsed/>
    <w:qFormat/>
    <w:uiPriority w:val="0"/>
    <w:pPr>
      <w:spacing w:line="360" w:lineRule="auto"/>
      <w:ind w:firstLine="643" w:firstLineChars="200"/>
    </w:pPr>
    <w:rPr>
      <w:rFonts w:ascii="仿宋_GB2312" w:hAnsi="仿宋_GB2312"/>
      <w:kern w:val="0"/>
      <w:sz w:val="24"/>
    </w:rPr>
  </w:style>
  <w:style w:type="paragraph" w:styleId="6">
    <w:name w:val="Block Text"/>
    <w:basedOn w:val="1"/>
    <w:semiHidden/>
    <w:unhideWhenUsed/>
    <w:uiPriority w:val="0"/>
    <w:pPr>
      <w:ind w:left="70" w:right="-719"/>
    </w:pPr>
    <w:rPr>
      <w:rFonts w:eastAsia="仿宋_GB2312"/>
      <w:sz w:val="32"/>
      <w:szCs w:val="20"/>
    </w:rPr>
  </w:style>
  <w:style w:type="paragraph" w:styleId="7">
    <w:name w:val="Balloon Text"/>
    <w:basedOn w:val="1"/>
    <w:link w:val="19"/>
    <w:semiHidden/>
    <w:unhideWhenUsed/>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unhideWhenUsed/>
    <w:qFormat/>
    <w:uiPriority w:val="99"/>
  </w:style>
  <w:style w:type="character" w:customStyle="1" w:styleId="14">
    <w:name w:val="标题 1 字符"/>
    <w:link w:val="2"/>
    <w:uiPriority w:val="9"/>
    <w:rPr>
      <w:rFonts w:ascii="Calibri" w:hAnsi="Calibri" w:eastAsia="宋体" w:cs="Times New Roman"/>
      <w:b/>
      <w:bCs/>
      <w:kern w:val="44"/>
      <w:sz w:val="30"/>
      <w:szCs w:val="44"/>
      <w:lang w:val="zh-CN" w:eastAsia="zh-CN"/>
    </w:rPr>
  </w:style>
  <w:style w:type="character" w:customStyle="1" w:styleId="15">
    <w:name w:val="正文文本缩进 Char"/>
    <w:semiHidden/>
    <w:qFormat/>
    <w:uiPriority w:val="99"/>
    <w:rPr>
      <w:rFonts w:ascii="Times New Roman" w:hAnsi="Times New Roman" w:eastAsia="宋体" w:cs="Times New Roman"/>
      <w:szCs w:val="24"/>
    </w:rPr>
  </w:style>
  <w:style w:type="character" w:customStyle="1" w:styleId="16">
    <w:name w:val="正文文本缩进 字符"/>
    <w:link w:val="5"/>
    <w:locked/>
    <w:uiPriority w:val="0"/>
    <w:rPr>
      <w:rFonts w:ascii="仿宋_GB2312" w:hAnsi="仿宋_GB2312"/>
      <w:sz w:val="24"/>
      <w:szCs w:val="24"/>
    </w:rPr>
  </w:style>
  <w:style w:type="character" w:customStyle="1" w:styleId="17">
    <w:name w:val="页眉 字符"/>
    <w:link w:val="9"/>
    <w:qFormat/>
    <w:uiPriority w:val="99"/>
    <w:rPr>
      <w:rFonts w:ascii="Times New Roman" w:hAnsi="Times New Roman"/>
      <w:kern w:val="2"/>
      <w:sz w:val="18"/>
      <w:szCs w:val="18"/>
    </w:rPr>
  </w:style>
  <w:style w:type="character" w:customStyle="1" w:styleId="18">
    <w:name w:val="页脚 字符"/>
    <w:link w:val="8"/>
    <w:qFormat/>
    <w:uiPriority w:val="99"/>
    <w:rPr>
      <w:rFonts w:ascii="Times New Roman" w:hAnsi="Times New Roman"/>
      <w:kern w:val="2"/>
      <w:sz w:val="18"/>
      <w:szCs w:val="18"/>
    </w:rPr>
  </w:style>
  <w:style w:type="character" w:customStyle="1" w:styleId="19">
    <w:name w:val="批注框文本 字符"/>
    <w:link w:val="7"/>
    <w:semiHidden/>
    <w:uiPriority w:val="99"/>
    <w:rPr>
      <w:rFonts w:ascii="Times New Roman" w:hAnsi="Times New Roman"/>
      <w:kern w:val="2"/>
      <w:sz w:val="18"/>
      <w:szCs w:val="18"/>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标题 3 字符"/>
    <w:basedOn w:val="12"/>
    <w:link w:val="4"/>
    <w:uiPriority w:val="9"/>
    <w:rPr>
      <w:rFonts w:ascii="Times New Roman" w:hAnsi="Times New Roman"/>
      <w:b/>
      <w:bCs/>
      <w:kern w:val="2"/>
      <w:sz w:val="32"/>
      <w:szCs w:val="32"/>
    </w:rPr>
  </w:style>
  <w:style w:type="character" w:customStyle="1" w:styleId="22">
    <w:name w:val="标题 2 字符"/>
    <w:basedOn w:val="12"/>
    <w:link w:val="3"/>
    <w:semiHidden/>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F4EE5-36E2-4963-AA62-A9829F155AF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1673</Words>
  <Characters>9542</Characters>
  <Lines>79</Lines>
  <Paragraphs>22</Paragraphs>
  <TotalTime>6</TotalTime>
  <ScaleCrop>false</ScaleCrop>
  <LinksUpToDate>false</LinksUpToDate>
  <CharactersWithSpaces>11193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2021-06-29T10:44:00Z</dcterms:created>
  <dc:creator>刘天休</dc:creator>
  <cp:lastModifiedBy>陈小曦</cp:lastModifiedBy>
  <cp:lastPrinted>2021-06-16T07:53:00Z</cp:lastPrinted>
  <dcterms:modified xsi:type="dcterms:W3CDTF">2021-11-30T06:09:17Z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122B34BF4070439C9E2C53055F515313</vt:lpwstr>
  </property>
</Properties>
</file>